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Pressure Monitoring Tool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Vanaf visite 2 wordt gemeten in het binnenschoeisel — één paar, geen tweede. Op visite 1 is er nog geen studieschoeisel: dan meet je in de schoenen waarmee de deelnemer binnenkomt.</w:t>
      </w:r>
    </w:p>
    <w:p>
      <w:r>
        <w:rPr>
          <w:b w:val="0"/>
          <w:i w:val="0"/>
          <w:sz w:val="22"/>
        </w:rPr>
      </w:r>
    </w:p>
    <w:p>
      <w:r>
        <w:rPr>
          <w:b/>
          <w:i w:val="0"/>
          <w:sz w:val="22"/>
        </w:rPr>
        <w:t>Twee condities,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van dit beeld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Pressure Monitoring Tool bij deze deelnemer en dit meetmoment.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i w:val="0"/>
          <w:sz w:val="22"/>
        </w:rPr>
        <w:t>Let op het verschil: de drie hoogste waarden uit stap 36 zijn wat je in dit beeld ziet; de drie doelregio’s zijn wat er ontlast moet worden. Die twee overlappen meestal, maar niet altijd — de regio met de vorige voetzweer telt altijd mee, ook als ze niet bij de hoogste drie zit.</w:t>
      </w:r>
    </w:p>
    <w:p>
      <w:r>
        <w:rPr>
          <w:b w:val="0"/>
          <w:i/>
          <w:sz w:val="22"/>
        </w:rPr>
        <w:t>De drie doelregio’s worden op eCRF 24 zelf aangeduid, boven de meettabellen: de regio met de voorgeschiedenis van voetzweer — die staat op eCRF 06 — plus per voet de twee plaatsen in de vóórvoet of de middenvoet met de hoogste piekdruk bóven 200 kPa. De hiel telt hier niet mee. Duid ze aan vóór je conditie B meet, anders weet je achteraf niet waarop je moest toetsen.</w:t>
      </w:r>
    </w:p>
    <w:p>
      <w:r>
        <w:rPr>
          <w:b/>
          <w:i w:val="0"/>
          <w:sz w:val="22"/>
        </w:rPr>
        <w:t>Op maand 6, 12 en 18 kies je ze niet opnieuw: neem dezelfde drie regio’s over van het vorige formulier. Alleen zo is te zien of de ontlasting op die plekken standhoudt. Heb je het vorige formulier niet bij de hand, vraag het dan op vóór de meting.</w:t>
      </w:r>
    </w:p>
    <w:p>
      <w:r>
        <w:rPr>
          <w:b w:val="0"/>
          <w:i/>
          <w:sz w:val="22"/>
        </w:rPr>
        <w:t>Bij opvolging laat je de zool ook aanpassen wanneer de piekdruk op een doelregio met 5% of meer gestegen is tegenover de vorige keer, ook al ligt ze nog onder de norm. Die regel staat in de Pressure Monitoring Tool.</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gewoon door en noteer op het formulier dat de deelnemer is blijven staan. De norm gaat op MPP en verandert er niet door; wil het studieteam later de gemiddelden gebruiken, dan knipt ‘file master’ in de novel database die frames er alsnog uit — zie hoofdstuk 13.</w:t>
      </w:r>
    </w:p>
    <w:p>
      <w:r>
        <w:rPr>
          <w:b w:val="0"/>
          <w:i w:val="0"/>
          <w:sz w:val="22"/>
        </w:rPr>
        <w:t>Herhaal de doorgang alleen als de deelnemer zó lang stilstond dat er te weinig stappen overblijven.</w:t>
      </w:r>
    </w:p>
    <w:p>
      <w:pPr>
        <w:keepNext/>
        <w:spacing w:before="200" w:after="80"/>
      </w:pPr>
      <w:r>
        <w:rPr>
          <w:b/>
          <w:color w:val="123A5F"/>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in de Pressure Monitoring Tool staat, bij de juiste deelnemer, het juiste meetmoment en de juiste conditie — zonder of met de zool.</w:t>
      </w:r>
    </w:p>
    <w:p>
      <w:pPr>
        <w:ind w:left="397" w:hanging="397"/>
      </w:pPr>
      <w:r>
        <w:rPr>
          <w:b/>
        </w:rPr>
        <w:t xml:space="preserve">41. </w:t>
      </w:r>
      <w:r>
        <w:t>Sla de Pressure Monitoring Tool op en mail ze naar janou.debuyser@kuleuven.be.</w:t>
      </w:r>
    </w:p>
    <w:p>
      <w:pPr>
        <w:ind w:left="397" w:hanging="397"/>
      </w:pPr>
      <w:r>
        <w:rPr>
          <w:b/>
        </w:rPr>
        <w:t xml:space="preserve">42. </w:t>
      </w:r>
      <w:r>
        <w:t>Laat het bestand op de laptop staan, ook als je het verstuurd hebt. Lukt het mailen niet, dan blijft het bewaard en wordt het bij een volgend studiebezoek opgehaald. Verwijder het nooit zelf.</w:t>
      </w:r>
    </w:p>
    <w:p>
      <w:pPr>
        <w:ind w:left="397" w:hanging="397"/>
      </w:pPr>
      <w:r>
        <w:rPr>
          <w:b/>
        </w:rPr>
        <w:t xml:space="preserve">43. </w:t>
      </w:r>
      <w:r>
        <w:t>Neem de zolen uit de schoenen, veeg ze schoon en berg ze vlak op.</w:t>
      </w:r>
    </w:p>
    <w:p>
      <w:pPr>
        <w:ind w:left="397" w:hanging="397"/>
      </w:pPr>
      <w:r>
        <w:rPr>
          <w:b/>
        </w:rPr>
        <w:t xml:space="preserve">44. </w:t>
      </w:r>
      <w:r>
        <w:t>Zet de toestellen aan de lader als de batterij onder de 30%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en Date of birth krijgt 01/01/1900. De database is gebouwd voor klinische dossiers en vraagt naam en geboortedatum, maar in de studie hoort daar niets herleidbaars in. Vul ook geen adres, telefoonnummer of beroep in.</w:t>
      </w:r>
    </w:p>
    <w:p>
      <w:pPr>
        <w:ind w:left="340"/>
      </w:pPr>
      <w:r>
        <w:rPr>
          <w:b w:val="0"/>
          <w:i/>
          <w:sz w:val="22"/>
        </w:rPr>
        <w:t>Dezelfde 01/01/1900 voor élke deelnemer. Het veld Age in Visits rekent daarop verder en komt dus op 126 uit — dat is geen fout, maar het teken dat er geen echte geboortedatum in staat. De werkelijke leeftijd staat in de eCRF.</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11.</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12); hoe het geëxporteerde meetbestand bij het studieteam raakt nog niet.</w:t>
      </w:r>
    </w:p>
    <w:p>
      <w:pPr>
        <w:ind w:left="397" w:hanging="397"/>
      </w:pPr>
      <w:r>
        <w:rPr>
          <w:b/>
        </w:rPr>
        <w:t xml:space="preserve">5. </w:t>
      </w:r>
      <w:r>
        <w:t>De Pressure Monitoring Tool kent zes regio’s per voet in plaats van acht: de middenvoet is niet gesplitst in mediaal en lateraal en tenen 2-5 ontbreken. Dat geldt voor het overzicht, voor de twee blokken waar de ruwe export in geplakt wordt én voor de twee grafieken. Hangt samen met het masker: dat moet zestien velden opleveren, niet twaalf. De kolomtitel ‘Barefoot’ moet ook nog wijzigen — bedoeld is de meting zónder aangepaste zool.</w:t>
      </w:r>
    </w:p>
    <w:p>
      <w:pPr>
        <w:ind w:left="397" w:hanging="397"/>
      </w:pPr>
      <w:r>
        <w:rPr>
          <w:b/>
        </w:rPr>
        <w:t xml:space="preserve">6. </w:t>
      </w:r>
      <w:r>
        <w:t>Wat er gebeurt als een deelnemer maar één paar schoeisel heeft. eCRF 24 voorziet een deel A1 en een deel A2; het formulier zegt niet of het tweede deel dan leeg blijft of vervalt.</w:t>
      </w:r>
    </w:p>
    <w:p>
      <w:pPr>
        <w:ind w:left="397" w:hanging="397"/>
      </w:pPr>
      <w:r>
        <w:rPr>
          <w:b/>
        </w:rPr>
        <w:t xml:space="preserve">7.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8.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