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pPr/>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 xml:space="preserve">1. Bus SA, Sacco ICN, Monteiro-Soares M, Raspovic A, Paton J, Rasmussen A, et al. </w:t>
      </w:r>
      <w:r>
        <w:rPr>
          <w:color w:val="000000"/>
        </w:rPr>
        <w:t>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317505">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14:paraId="4EFC1DDE" w14:textId="77777777" w:rsidR="00AC160C" w:rsidRDefault="00000000">
      <w:r>
        <w:rPr>
          <w:color w:val="000000"/>
        </w:rPr>
        <w:t>9.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Bruyne S, et al. </w:t>
      </w:r>
      <w:r w:rsidRPr="00317505">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317505">
        <w:rPr>
          <w:color w:val="000000"/>
          <w:lang w:val="nl-BE"/>
        </w:rPr>
        <w:t>PLoS One. 2014;9(6).</w:t>
      </w:r>
    </w:p>
    <w:p w14:paraId="6DA5A429" w14:textId="77777777" w:rsidR="00AC160C" w:rsidRDefault="00000000">
      <w:r w:rsidRPr="00317505">
        <w:rPr>
          <w:color w:val="000000"/>
          <w:lang w:val="nl-BE"/>
        </w:rPr>
        <w:t xml:space="preserve">16. Bus S, Netten J, Hinchliffe R, Apelqvist J, Lipsky B, Schaper N, et al. </w:t>
      </w:r>
      <w:r>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317505">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317505">
        <w:rPr>
          <w:color w:val="000000"/>
          <w:lang w:val="nl-BE"/>
        </w:rPr>
        <w:t>Implement Sci. 2011;6:42. doi:10.1186/1748-5908-6-42</w:t>
      </w:r>
    </w:p>
    <w:p w14:paraId="1BE548ED" w14:textId="77777777" w:rsidR="00AC160C" w:rsidRDefault="00000000">
      <w:r w:rsidRPr="00317505">
        <w:rPr>
          <w:color w:val="000000"/>
          <w:lang w:val="nl-BE"/>
        </w:rPr>
        <w:t xml:space="preserve">32. Perrin BM, Netten JJ, aan de Stegge WB, Busch-Westbroek TE, Bus SA. </w:t>
      </w:r>
      <w:r>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317505">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