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vier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w:t>
      </w:r>
      <w:r>
        <w:rPr>
          <w:rFonts w:ascii="Segoe UI" w:hAnsi="Segoe UI" w:eastAsia="Segoe UI"/>
          <w:b/>
          <w:i w:val="0"/>
          <w:color w:val="1B2630"/>
          <w:sz w:val="19"/>
        </w:rPr>
        <w:t>Repeat Entire Event</w:t>
      </w:r>
      <w:r>
        <w:rPr>
          <w:rFonts w:ascii="Segoe UI" w:hAnsi="Segoe UI" w:eastAsia="Segoe UI"/>
          <w:b w:val="0"/>
          <w:i w:val="0"/>
          <w:color w:val="1B2630"/>
          <w:sz w:val="19"/>
        </w:rPr>
        <w:t>, in beide armen.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veertig formulieren zijn volledig gebouwd, samen 1413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1413 velden, 40 formulieren, 30 events, 205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