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eCRF Document 24: Pressure redistribution efficacy of CMFO</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b w:val="0"/>
          <w:i/>
          <w:color w:val="24303B"/>
        </w:rPr>
        <w:t>In te vullen op visite 2 en opnieuw op maand 6, 12 en 18. De meting gebeurt in béíde armen. In de Optimal Care-arm worden de resultaten met de deelnemer en de pedorthist besproken en wordt de voetorthese erop bijgestuurd; in de Usual Care-arm gebeurt de meting geblindeerd — ze wordt niet getoond, niet besproken en stuurt de zorg niet bij.</w:t>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per voet de doelregio’s die ontlast moeten worden, hoogstens drie: de regio van de vorige voetzweer en de twee regio’s in voorvoet of middenvoet met de hoogste piekdruk boven 200 kPa; liggen er minder regio’s boven 200 kPa, dan duidt u er minder aan.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doelregio’s van beide voeten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