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 the heel is not eligible as a target region. The orthosis is considered adequately offloading when, at each target region, peak pressure with the orthosis is below 200 kPa or is at least 25% lower than at the same region measured without the orthosis at delivery (visit 2). That measurement remains the reference at 6, 12 and 18 months: the condition without the orthosis is repeated at every assessment to document the current unprotected pressure, but it does not replace the reference.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 Both components are individually tailored: the offloading target is defined against that participant's own pressure measured without the orthosis at delivery (visit 2),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