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eCRF-Excel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Elk paar schoeisel wordt apart doorgemeten. eCRF 24 heeft daarvoor twee volledige delen: A1 voor het buitenschoeisel en A2 voor het binnenschoeisel. Heeft de deelnemer allebei, dan doorloop je dit hoofdstuk twee keer en vul je beide delen in. Wissel niet halverwege van paar.</w:t>
      </w:r>
    </w:p>
    <w:p>
      <w:r>
        <w:rPr>
          <w:b w:val="0"/>
          <w:i w:val="0"/>
          <w:sz w:val="22"/>
        </w:rPr>
      </w:r>
    </w:p>
    <w:p>
      <w:r>
        <w:rPr>
          <w:b/>
          <w:i w:val="0"/>
          <w:sz w:val="22"/>
        </w:rPr>
        <w:t>Per paar schoeisel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en gebruik ‘Set Range’ of de tijdbalk om alleen het mid-gait deel in beeld te brengen. ‘Fit All Data’ zet de weergave terug op de volledige meting. Of de getallen daarmee ook herberekend worden is nog niet bevestigd — zie hoofdstuk 11; voor de piekdruk maakt het niet uit.</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val="0"/>
          <w:i/>
          <w:sz w:val="22"/>
        </w:rPr>
        <w:t>De drie doelregio’s worden op eCRF 24 zelf aangeduid, boven de meettabellen: de regio met de voorgeschiedenis van voetzweer — die staat op eCRF 06 — plus de één of twee regio’s met de hoogste piekdruk zonder de zool. Duid ze aan vóór je conditie B meet, anders weet je achteraf niet waarop je moest toetsen.</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i w:val="0"/>
          <w:sz w:val="22"/>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2"/>
        </w:rPr>
        <w:t>Te toetsen tijdens de droogloop: of MPP en MVP daadwerkelijk herberekend worden over de selectie van ‘Set Range’, of alleen de grafiek inzoomt. Meet daarvoor één opname twee keer af, één keer volledig en één keer met een selectie, en vergelijk de getallen.</w:t>
      </w:r>
    </w:p>
    <w:p>
      <w:r>
        <w:rPr>
          <w:b w:val="0"/>
          <w:i w:val="0"/>
          <w:sz w:val="22"/>
        </w:rPr>
        <w:t>Lukt het aan de stoel niet, meet dan gewoon door. Het studieteam kan de frames achteraf uit het bestand knippen — zie hoofdstuk 13. 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eCRF-Excel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de database is gebouwd voor klinische dossiers en vraagt een naam, maar in de studie hoort daar geen naam in. Vul ook geen adres, telefoonnummer of beroep in.</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bakent ‘Set Range’ het wandeldeel af — zie hoofdstuk 11. Lukt dat niet, dan knipt het studieteam de frames er achteraf uit.</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Of ‘Set Range’ de waarden herberekent of alleen de grafiek inzoomt. Te toetsen tijdens de droogloop, met één opname die twee keer wordt afgelezen.</w:t>
      </w:r>
    </w:p>
    <w:p>
      <w:pPr>
        <w:ind w:left="397" w:hanging="397"/>
      </w:pPr>
      <w:r>
        <w:rPr>
          <w:b/>
        </w:rPr>
        <w:t xml:space="preserve">4. </w:t>
      </w:r>
      <w:r>
        <w:t>Welke MVP-weergave het studieteam wil voor de secundaire analyses: MVP O, LF of LC. Voor de norm maakt het niet uit, want die gaat op MPP.</w:t>
      </w:r>
    </w:p>
    <w:p>
      <w:pPr>
        <w:ind w:left="397" w:hanging="397"/>
      </w:pPr>
      <w:r>
        <w:rPr>
          <w:b/>
        </w:rPr>
        <w:t xml:space="preserve">5. </w:t>
      </w:r>
      <w:r>
        <w:t>Minimum batterijniveau om aan een meting te beginnen.</w:t>
      </w:r>
    </w:p>
    <w:p>
      <w:pPr>
        <w:ind w:left="397" w:hanging="397"/>
      </w:pPr>
      <w:r>
        <w:rPr>
          <w:b/>
        </w:rPr>
        <w:t xml:space="preserve">6. </w:t>
      </w:r>
      <w:r>
        <w:t>Exportformaat en bestandsnaamgeving, en langs welke weg de meting en de schermafbeeldingen bij het onderzoeksteam raken. Hangt samen met de beslissing over de formulierenroute.</w:t>
      </w:r>
    </w:p>
    <w:p>
      <w:pPr>
        <w:ind w:left="397" w:hanging="397"/>
      </w:pPr>
      <w:r>
        <w:rPr>
          <w:b/>
        </w:rPr>
        <w:t xml:space="preserve">7. </w:t>
      </w:r>
      <w:r>
        <w:t>Of de drie doelregio’s op maand 6, 12 en 18 dezelfde blijven als op visite 2. eCRF 24 is opgesteld voor visite 2 en zegt telkens ‘definieer’, zonder te vermelden of ze overgenomen worden. Voor het volgen van het ontlastende effect over de tijd zou dat wel moeten.</w:t>
      </w:r>
    </w:p>
    <w:p>
      <w:pPr>
        <w:ind w:left="397" w:hanging="397"/>
      </w:pPr>
      <w:r>
        <w:rPr>
          <w:b/>
        </w:rPr>
        <w:t xml:space="preserve">8. </w:t>
      </w:r>
      <w:r>
        <w:t>Wat er gebeurt als een deelnemer maar één paar schoeisel heeft. eCRF 24 voorziet een deel A1 en een deel A2; het formulier zegt niet of het tweede deel dan leeg blijft of vervalt.</w:t>
      </w:r>
    </w:p>
    <w:p>
      <w:pPr>
        <w:ind w:left="397" w:hanging="397"/>
      </w:pPr>
      <w:r>
        <w:rPr>
          <w:b/>
        </w:rPr>
        <w:t xml:space="preserve">9.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10. </w:t>
      </w:r>
      <w:r>
        <w:t>Of het veld Date of birth in de database ingevuld wordt. Novel vraagt het, maar een geboortedatum is samen met een centrum en een meetdatum herleidbaar. Overweeg alleen het geboortejaar, of het veld leeg laten.</w:t>
      </w:r>
    </w:p>
    <w:p>
      <w:pPr>
        <w:ind w:left="397" w:hanging="397"/>
      </w:pPr>
      <w:r>
        <w:rPr>
          <w:b/>
        </w:rPr>
        <w:t xml:space="preserve">11.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