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3A5F"/>
          <w:sz w:val="36"/>
        </w:rPr>
        <w:t>Traceability-audit: PARADISE-protocol/eCRF’s versus de internationale</w:t>
      </w:r>
    </w:p>
    <w:p>
      <w:r>
        <w:rPr>
          <w:b/>
          <w:color w:val="123A5F"/>
          <w:sz w:val="36"/>
        </w:rPr>
        <w:t>Core Outcome Set (2024) en Core Descriptor Set (2026)</w:t>
      </w:r>
    </w:p>
    <w:p>
      <w:r>
        <w:rPr>
          <w:i w:val="0"/>
          <w:color w:val="59636E"/>
        </w:rPr>
        <w:t>Datum: 03/08/2026</w:t>
      </w:r>
    </w:p>
    <w:p>
      <w:r>
        <w:rPr>
          <w:i w:val="0"/>
          <w:color w:val="59636E"/>
        </w:rPr>
        <w:t>Bronnen: Staniszewska et al., Diabetes Care 2024;47(11):1958–1968 (COS) — Staniszewska et al., Diabetologia 2026, doi:10.1007/s00125-026-06815-1 (CDS)</w:t>
      </w:r>
    </w:p>
    <w:p>
      <w:r>
        <w:rPr>
          <w:i w:val="0"/>
          <w:color w:val="2E3B47"/>
        </w:rPr>
        <w:t>Status: alle items van beide gepubliceerde consensus-sets zijn individueel afgetoetst tegen het protocol (Protocol_PARADISE_17_05_2026.docx) en de volledige eCRF-set (00–47).</w:t>
      </w:r>
    </w:p>
    <w:p>
      <w:pPr>
        <w:spacing w:before="320"/>
      </w:pPr>
      <w:r>
        <w:rPr>
          <w:b/>
          <w:color w:val="123A5F"/>
          <w:sz w:val="28"/>
        </w:rPr>
        <w:t>1. Doel en methode</w:t>
      </w:r>
    </w:p>
    <w:p>
      <w:r>
        <w:rPr>
          <w:i w:val="0"/>
          <w:color w:val="2E3B47"/>
        </w:rPr>
        <w:t>Deze doorlichting gaat verder dan de eerder toegepaste 4 evidente aanvullingen. Alle 8 eindpunten uit de Core Outcome Set (COS) en alle 28 descriptoren uit de Core Descriptor Set (CDS) — verdeeld over 9 domeinen — zijn stuk voor stuk nagekeken: bestaat er een concreet eCRF-veld, protocolzin of meetinstrument dat dit item dekt? Waar dat niet zo was, is een concrete aanvulling doorgevoerd (of aan u voorgelegd, wanneer het een inhoudelijke of juridische keuze betrof).</w:t>
      </w:r>
    </w:p>
    <w:p>
      <w:r>
        <w:rPr>
          <w:i w:val="0"/>
          <w:color w:val="2E3B47"/>
        </w:rPr>
        <w:t>Doel: bij publicatie van het PARADISE-protocol beide artikelen kunnen citeren als methodologische onderbouwing, met een volledig aantoonbare koppeling tussen elk COS-eindpunt/CDS-descriptor en de plaats waar het in de studie effectief wordt gemeten.</w:t>
      </w:r>
    </w:p>
    <w:p>
      <w:pPr>
        <w:spacing w:before="320"/>
      </w:pPr>
      <w:r>
        <w:rPr>
          <w:b/>
          <w:color w:val="123A5F"/>
          <w:sz w:val="28"/>
        </w:rPr>
        <w:t>2. Wat is aangepast tijdens deze doorlichting</w:t>
      </w:r>
    </w:p>
    <w:p>
      <w:r>
        <w:rPr>
          <w:i w:val="0"/>
          <w:color w:val="2E3B47"/>
        </w:rPr>
        <w:t>Onderstaande wijzigingen zijn doorgevoerd en gepusht naar de Git-repository (commits da5b91a, 19c175d, a6dd420, 42a0a26):</w:t>
      </w:r>
    </w:p>
    <w:p>
      <w:pPr>
        <w:pStyle w:val="ListBullet"/>
      </w:pPr>
      <w:r>
        <w:rPr>
          <w:color w:val="2E3B47"/>
        </w:rPr>
        <w:t>eCRF 07: rookstatus uitgebreid van “huidige status” naar volledige rookgeschiedenis (nooit/ex-/huidige roker)</w:t>
      </w:r>
    </w:p>
    <w:p>
      <w:pPr>
        <w:pStyle w:val="ListBullet"/>
      </w:pPr>
      <w:r>
        <w:rPr>
          <w:color w:val="2E3B47"/>
        </w:rPr>
        <w:t>eCRF 07: veld 2.18 “Voorgeschiedenis ulcus” (stond volledig leeg) ingevuld met alle kenmerken van het kwalificerende ulcus: locatie, datum ontstaan/genezing, grootte, diepte, osteomyelitis, wekedeleninfectie</w:t>
      </w:r>
    </w:p>
    <w:p>
      <w:pPr>
        <w:pStyle w:val="ListBullet"/>
      </w:pPr>
      <w:r>
        <w:rPr>
          <w:color w:val="2E3B47"/>
        </w:rPr>
        <w:t>eCRF 07: nieuw veld 2.24 “Huidig gebruik van antibiotica”</w:t>
      </w:r>
    </w:p>
    <w:p>
      <w:pPr>
        <w:pStyle w:val="ListBullet"/>
      </w:pPr>
      <w:r>
        <w:rPr>
          <w:color w:val="2E3B47"/>
        </w:rPr>
        <w:t>eCRF 07: nieuw veld 1.13 “Geboorteland” — gekozen als niet-gevoelige proxy voor het CDS-descriptor “race/ethnicity”, na uw keuze om etniciteit zelf niet te bevragen omwille van AVG/GDPR-gevoeligheid</w:t>
      </w:r>
    </w:p>
    <w:p>
      <w:pPr>
        <w:pStyle w:val="ListBullet"/>
      </w:pPr>
      <w:r>
        <w:rPr>
          <w:color w:val="2E3B47"/>
        </w:rPr>
        <w:t>Nieuw eCRF 46: AE/SAE Report Form — dekt de COS-eindpunten majeure amputatie, mineure amputatie en mortaliteit, die voordien geen eigen registratie-instrument hadden (protocol verwees enkel generiek naar “adverse event reporting, zie Sectie 6”)</w:t>
      </w:r>
    </w:p>
    <w:p>
      <w:pPr>
        <w:pStyle w:val="ListBullet"/>
      </w:pPr>
      <w:r>
        <w:rPr>
          <w:color w:val="2E3B47"/>
        </w:rPr>
        <w:t>eCRF 46: eerste versie gebruikte de site-huisstijl (oranje balken, kleur 00407A) — volledig herbouwd in de effectieve eCRF-Worddocument-huisstijl (navy 123A5F, geen achtergrondkleuren, losse checkbox-regels), consistent met eCRF 36/44/45a/45b</w:t>
      </w:r>
    </w:p>
    <w:p>
      <w:pPr>
        <w:pStyle w:val="ListBullet"/>
      </w:pPr>
      <w:r>
        <w:rPr>
          <w:color w:val="2E3B47"/>
        </w:rPr>
        <w:t>Nieuw eCRF 47: Ulcus-vervolgformulier — dekt de COS-eindpunten “wound healing” en “time to healing”, die voordien niet meetbaar waren: het protocol classificeerde een ulcus bij optreden (PEDIS/WIfI) maar had geen mechanisme om te registreren of en wanneer het geneest.</w:t>
      </w:r>
    </w:p>
    <w:p>
      <w:pPr>
        <w:pStyle w:val="ListBullet"/>
      </w:pPr>
      <w:r>
        <w:rPr>
          <w:color w:val="2E3B47"/>
        </w:rPr>
        <w:t>Protocol §3.2.3, §5.5.6 en §6.1/6.2: expliciete verwijzingen naar eCRF 46/47 toegevoegd i.p.v. generieke tekst</w:t>
      </w:r>
    </w:p>
    <w:p>
      <w:pPr>
        <w:pStyle w:val="ListBullet"/>
      </w:pPr>
      <w:r>
        <w:rPr>
          <w:color w:val="2E3B47"/>
        </w:rPr>
        <w:t>protocol-analyse.html: nieuw domein “Veiligheid (AE/SAE)” + ontbrekende overzichtsrijen voor eCRF 44/45/45a/45b toegevoegd</w:t>
      </w:r>
    </w:p>
    <w:p>
      <w:pPr>
        <w:pStyle w:val="ListBullet"/>
      </w:pPr>
      <w:r>
        <w:rPr>
          <w:color w:val="2E3B47"/>
        </w:rPr>
        <w:t>Teambeslissing (03/08/2026, definitief): de Cardiff Wound Impact Schedule wordt niet gebruikt in de studie. Reden: het instrument is licentieplichtig, en de vereiste herafname op 12 weken na het ulcus is praktisch niet haalbaar binnen de studieopzet. Alle verwijzingen zijn verwijderd — in het protocol (§5.5.6), in eCRF 47 (herleid tot uitsluitend genezingsstatus), in de ulcusopvolging van visite-checklist.html en in protocol-analyse.html; het plaatshouder-document eCRF 47b is geschrapt. Het COS-eindpunt ‘health-related quality of life’ blijft gedekt via de EQ-5D-5L (eCRF 21).</w:t>
      </w:r>
    </w:p>
    <w:p>
      <w:pPr>
        <w:pStyle w:val="ListBullet"/>
      </w:pPr>
      <w:r>
        <w:rPr>
          <w:color w:val="2E3B47"/>
        </w:rPr>
        <w:t>eCRF 46 en 47 volledig herbouwd op basis van eCRF 38 als sjabloon, zodat opmaak nu identiek is aan de bestaande eCRF’s: gecentreerde titel “eCRF Document NN:” (bold, 14pt, 123A5F), sectiekoppen via de benoemde stijl ‘Stijl3’, bodytekst 12pt zwart, en checkboxes met het glyph in Segoe UI Symbol.</w:t>
      </w:r>
    </w:p>
    <w:p>
      <w:pPr>
        <w:pStyle w:val="ListBullet"/>
      </w:pPr>
      <w:r>
        <w:rPr>
          <w:color w:val="2E3B47"/>
        </w:rPr>
        <w:t>Kleine tekstcorrectie: “e-CRF Document 05-ICF-Mangement” → “eCRF-Document 05-ICF-Management” (spelfout + inconsistente schrijfwijze)</w:t>
      </w:r>
    </w:p>
    <w:p>
      <w:pPr>
        <w:spacing w:before="320"/>
      </w:pPr>
      <w:r>
        <w:rPr>
          <w:b/>
          <w:color w:val="123A5F"/>
          <w:sz w:val="28"/>
        </w:rPr>
        <w:t>3. Core Outcome Set — dekking (8/8)</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2880"/>
        <w:gridCol w:w="2880"/>
        <w:gridCol w:w="2880"/>
      </w:tblGrid>
      <w:tr>
        <w:tc>
          <w:tcPr>
            <w:tcW w:type="dxa" w:w="2880"/>
          </w:tcPr>
          <w:p>
            <w:r/>
            <w:r>
              <w:rPr>
                <w:b/>
                <w:color w:val="123A5F"/>
                <w:sz w:val="19"/>
              </w:rPr>
              <w:t>COS-eindpunt</w:t>
            </w:r>
          </w:p>
        </w:tc>
        <w:tc>
          <w:tcPr>
            <w:tcW w:type="dxa" w:w="2880"/>
          </w:tcPr>
          <w:p>
            <w:r/>
            <w:r>
              <w:rPr>
                <w:b/>
                <w:color w:val="123A5F"/>
                <w:sz w:val="19"/>
              </w:rPr>
              <w:t>Waar gedekt</w:t>
            </w:r>
          </w:p>
        </w:tc>
        <w:tc>
          <w:tcPr>
            <w:tcW w:type="dxa" w:w="2880"/>
          </w:tcPr>
          <w:p>
            <w:r/>
            <w:r>
              <w:rPr>
                <w:b/>
                <w:color w:val="123A5F"/>
                <w:sz w:val="19"/>
              </w:rPr>
              <w:t>Status</w:t>
            </w:r>
          </w:p>
        </w:tc>
      </w:tr>
      <w:tr>
        <w:tc>
          <w:tcPr>
            <w:tcW w:type="dxa" w:w="2880"/>
          </w:tcPr>
          <w:p>
            <w:r/>
            <w:r>
              <w:rPr>
                <w:b/>
                <w:color w:val="24303B"/>
                <w:sz w:val="19"/>
              </w:rPr>
              <w:t>Wound healing</w:t>
            </w:r>
          </w:p>
        </w:tc>
        <w:tc>
          <w:tcPr>
            <w:tcW w:type="dxa" w:w="2880"/>
          </w:tcPr>
          <w:p>
            <w:r/>
            <w:r>
              <w:rPr>
                <w:b w:val="0"/>
                <w:color w:val="2E3B47"/>
                <w:sz w:val="19"/>
              </w:rPr>
              <w:t>eCRF 47 (Ulcus-vervolgformulier, §2 Genezingsstatus) + protocol §5.5.6</w:t>
            </w:r>
          </w:p>
        </w:tc>
        <w:tc>
          <w:tcPr>
            <w:tcW w:type="dxa" w:w="2880"/>
          </w:tcPr>
          <w:p>
            <w:r/>
            <w:r>
              <w:rPr>
                <w:b/>
                <w:color w:val="1B7A3D"/>
                <w:sz w:val="19"/>
              </w:rPr>
              <w:t>Gedekt</w:t>
            </w:r>
          </w:p>
        </w:tc>
      </w:tr>
      <w:tr>
        <w:tc>
          <w:tcPr>
            <w:tcW w:type="dxa" w:w="2880"/>
          </w:tcPr>
          <w:p>
            <w:r/>
            <w:r>
              <w:rPr>
                <w:b/>
                <w:color w:val="24303B"/>
                <w:sz w:val="19"/>
              </w:rPr>
              <w:t>Time to healing</w:t>
            </w:r>
          </w:p>
        </w:tc>
        <w:tc>
          <w:tcPr>
            <w:tcW w:type="dxa" w:w="2880"/>
          </w:tcPr>
          <w:p>
            <w:r/>
            <w:r>
              <w:rPr>
                <w:b w:val="0"/>
                <w:color w:val="2E3B47"/>
                <w:sz w:val="19"/>
              </w:rPr>
              <w:t>eCRF 47 (datum vaststelling vs. datum genezing) + protocol §3.2.3/§5.5.6</w:t>
            </w:r>
          </w:p>
        </w:tc>
        <w:tc>
          <w:tcPr>
            <w:tcW w:type="dxa" w:w="2880"/>
          </w:tcPr>
          <w:p>
            <w:r/>
            <w:r>
              <w:rPr>
                <w:b/>
                <w:color w:val="1B7A3D"/>
                <w:sz w:val="19"/>
              </w:rPr>
              <w:t>Gedekt</w:t>
            </w:r>
          </w:p>
        </w:tc>
      </w:tr>
      <w:tr>
        <w:tc>
          <w:tcPr>
            <w:tcW w:type="dxa" w:w="2880"/>
          </w:tcPr>
          <w:p>
            <w:r/>
            <w:r>
              <w:rPr>
                <w:b/>
                <w:color w:val="24303B"/>
                <w:sz w:val="19"/>
              </w:rPr>
              <w:t>New/recurrent ulceration</w:t>
            </w:r>
          </w:p>
        </w:tc>
        <w:tc>
          <w:tcPr>
            <w:tcW w:type="dxa" w:w="2880"/>
          </w:tcPr>
          <w:p>
            <w:r/>
            <w:r>
              <w:rPr>
                <w:b w:val="0"/>
                <w:color w:val="2E3B47"/>
                <w:sz w:val="19"/>
              </w:rPr>
              <w:t>Co-primair eindpunt van de studie — protocol §3.2.2</w:t>
            </w:r>
          </w:p>
        </w:tc>
        <w:tc>
          <w:tcPr>
            <w:tcW w:type="dxa" w:w="2880"/>
          </w:tcPr>
          <w:p>
            <w:r/>
            <w:r>
              <w:rPr>
                <w:b/>
                <w:color w:val="1B7A3D"/>
                <w:sz w:val="19"/>
              </w:rPr>
              <w:t>Gedekt</w:t>
            </w:r>
          </w:p>
        </w:tc>
      </w:tr>
      <w:tr>
        <w:tc>
          <w:tcPr>
            <w:tcW w:type="dxa" w:w="2880"/>
          </w:tcPr>
          <w:p>
            <w:r/>
            <w:r>
              <w:rPr>
                <w:b/>
                <w:color w:val="24303B"/>
                <w:sz w:val="19"/>
              </w:rPr>
              <w:t>Infection</w:t>
            </w:r>
          </w:p>
        </w:tc>
        <w:tc>
          <w:tcPr>
            <w:tcW w:type="dxa" w:w="2880"/>
          </w:tcPr>
          <w:p>
            <w:r/>
            <w:r>
              <w:rPr>
                <w:b w:val="0"/>
                <w:color w:val="2E3B47"/>
                <w:sz w:val="19"/>
              </w:rPr>
              <w:t>eCRF 36 (PEDIS) / 38 (WIfI) classificatie + protocol §3.2.3</w:t>
            </w:r>
          </w:p>
        </w:tc>
        <w:tc>
          <w:tcPr>
            <w:tcW w:type="dxa" w:w="2880"/>
          </w:tcPr>
          <w:p>
            <w:r/>
            <w:r>
              <w:rPr>
                <w:b/>
                <w:color w:val="1B7A3D"/>
                <w:sz w:val="19"/>
              </w:rPr>
              <w:t>Gedekt</w:t>
            </w:r>
          </w:p>
        </w:tc>
      </w:tr>
      <w:tr>
        <w:tc>
          <w:tcPr>
            <w:tcW w:type="dxa" w:w="2880"/>
          </w:tcPr>
          <w:p>
            <w:r/>
            <w:r>
              <w:rPr>
                <w:b/>
                <w:color w:val="24303B"/>
                <w:sz w:val="19"/>
              </w:rPr>
              <w:t>Major amputation (above ankle)</w:t>
            </w:r>
          </w:p>
        </w:tc>
        <w:tc>
          <w:tcPr>
            <w:tcW w:type="dxa" w:w="2880"/>
          </w:tcPr>
          <w:p>
            <w:r/>
            <w:r>
              <w:rPr>
                <w:b w:val="0"/>
                <w:color w:val="2E3B47"/>
                <w:sz w:val="19"/>
              </w:rPr>
              <w:t>eCRF 46 (AE/SAE Report Form, §3) + protocol §3.2.3/§6</w:t>
            </w:r>
          </w:p>
        </w:tc>
        <w:tc>
          <w:tcPr>
            <w:tcW w:type="dxa" w:w="2880"/>
          </w:tcPr>
          <w:p>
            <w:r/>
            <w:r>
              <w:rPr>
                <w:b/>
                <w:color w:val="1B7A3D"/>
                <w:sz w:val="19"/>
              </w:rPr>
              <w:t>Gedekt</w:t>
            </w:r>
          </w:p>
        </w:tc>
      </w:tr>
      <w:tr>
        <w:tc>
          <w:tcPr>
            <w:tcW w:type="dxa" w:w="2880"/>
          </w:tcPr>
          <w:p>
            <w:r/>
            <w:r>
              <w:rPr>
                <w:b/>
                <w:color w:val="24303B"/>
                <w:sz w:val="19"/>
              </w:rPr>
              <w:t>Minor amputation (below ankle)</w:t>
            </w:r>
          </w:p>
        </w:tc>
        <w:tc>
          <w:tcPr>
            <w:tcW w:type="dxa" w:w="2880"/>
          </w:tcPr>
          <w:p>
            <w:r/>
            <w:r>
              <w:rPr>
                <w:b w:val="0"/>
                <w:color w:val="2E3B47"/>
                <w:sz w:val="19"/>
              </w:rPr>
              <w:t>eCRF 46 (AE/SAE Report Form, §3) + protocol §3.2.3/§6</w:t>
            </w:r>
          </w:p>
        </w:tc>
        <w:tc>
          <w:tcPr>
            <w:tcW w:type="dxa" w:w="2880"/>
          </w:tcPr>
          <w:p>
            <w:r/>
            <w:r>
              <w:rPr>
                <w:b/>
                <w:color w:val="1B7A3D"/>
                <w:sz w:val="19"/>
              </w:rPr>
              <w:t>Gedekt</w:t>
            </w:r>
          </w:p>
        </w:tc>
      </w:tr>
      <w:tr>
        <w:tc>
          <w:tcPr>
            <w:tcW w:type="dxa" w:w="2880"/>
          </w:tcPr>
          <w:p>
            <w:r/>
            <w:r>
              <w:rPr>
                <w:b/>
                <w:color w:val="24303B"/>
                <w:sz w:val="19"/>
              </w:rPr>
              <w:t>Health-related quality of life</w:t>
            </w:r>
          </w:p>
        </w:tc>
        <w:tc>
          <w:tcPr>
            <w:tcW w:type="dxa" w:w="2880"/>
          </w:tcPr>
          <w:p>
            <w:r/>
            <w:r>
              <w:rPr>
                <w:b w:val="0"/>
                <w:color w:val="2E3B47"/>
                <w:sz w:val="19"/>
              </w:rPr>
              <w:t>eCRF 21 (EQ-5D-5L, elke kwartaalvisite) + protocol §3.2.3/§7.1</w:t>
            </w:r>
          </w:p>
        </w:tc>
        <w:tc>
          <w:tcPr>
            <w:tcW w:type="dxa" w:w="2880"/>
          </w:tcPr>
          <w:p>
            <w:r/>
            <w:r>
              <w:rPr>
                <w:b/>
                <w:color w:val="1B7A3D"/>
                <w:sz w:val="19"/>
              </w:rPr>
              <w:t>Gedekt</w:t>
            </w:r>
          </w:p>
        </w:tc>
      </w:tr>
      <w:tr>
        <w:tc>
          <w:tcPr>
            <w:tcW w:type="dxa" w:w="2880"/>
          </w:tcPr>
          <w:p>
            <w:r/>
            <w:r>
              <w:rPr>
                <w:b/>
                <w:color w:val="24303B"/>
                <w:sz w:val="19"/>
              </w:rPr>
              <w:t>Mortality</w:t>
            </w:r>
          </w:p>
        </w:tc>
        <w:tc>
          <w:tcPr>
            <w:tcW w:type="dxa" w:w="2880"/>
          </w:tcPr>
          <w:p>
            <w:r/>
            <w:r>
              <w:rPr>
                <w:b w:val="0"/>
                <w:color w:val="2E3B47"/>
                <w:sz w:val="19"/>
              </w:rPr>
              <w:t>eCRF 46 (AE/SAE Report Form, §4) + protocol §3.2.3/§6 (all-cause mortality toegevoegd aan eindpuntenlijst)</w:t>
            </w:r>
          </w:p>
        </w:tc>
        <w:tc>
          <w:tcPr>
            <w:tcW w:type="dxa" w:w="2880"/>
          </w:tcPr>
          <w:p>
            <w:r/>
            <w:r>
              <w:rPr>
                <w:b/>
                <w:color w:val="1B7A3D"/>
                <w:sz w:val="19"/>
              </w:rPr>
              <w:t>Gedekt</w:t>
            </w:r>
          </w:p>
        </w:tc>
      </w:tr>
    </w:tbl>
    <w:p>
      <w:pPr>
        <w:spacing w:before="320"/>
      </w:pPr>
      <w:r>
        <w:rPr>
          <w:b/>
          <w:color w:val="123A5F"/>
          <w:sz w:val="28"/>
        </w:rPr>
        <w:t>4. Core Descriptor Set — dekking (27/28 + 1 bewuste keuze)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2880"/>
        <w:gridCol w:w="2880"/>
        <w:gridCol w:w="2880"/>
      </w:tblGrid>
      <w:tr>
        <w:tc>
          <w:tcPr>
            <w:tcW w:type="dxa" w:w="2880"/>
          </w:tcPr>
          <w:p>
            <w:r/>
            <w:r>
              <w:rPr>
                <w:b/>
                <w:color w:val="123A5F"/>
                <w:sz w:val="19"/>
              </w:rPr>
              <w:t>CDS-descriptor</w:t>
            </w:r>
          </w:p>
        </w:tc>
        <w:tc>
          <w:tcPr>
            <w:tcW w:type="dxa" w:w="2880"/>
          </w:tcPr>
          <w:p>
            <w:r/>
            <w:r>
              <w:rPr>
                <w:b/>
                <w:color w:val="123A5F"/>
                <w:sz w:val="19"/>
              </w:rPr>
              <w:t>Waar gedekt</w:t>
            </w:r>
          </w:p>
        </w:tc>
        <w:tc>
          <w:tcPr>
            <w:tcW w:type="dxa" w:w="2880"/>
          </w:tcPr>
          <w:p>
            <w:r/>
            <w:r>
              <w:rPr>
                <w:b/>
                <w:color w:val="123A5F"/>
                <w:sz w:val="19"/>
              </w:rPr>
              <w:t>Status</w:t>
            </w:r>
          </w:p>
        </w:tc>
      </w:tr>
      <w:tr>
        <w:tc>
          <w:tcPr>
            <w:tcW w:type="dxa" w:w="8640"/>
            <w:gridSpan w:val="3"/>
          </w:tcPr>
          <w:p>
            <w:r/>
            <w:r>
              <w:rPr>
                <w:b/>
                <w:color w:val="123A5F"/>
                <w:sz w:val="20"/>
              </w:rPr>
              <w:t>Domein I — Demografische variabelen</w:t>
            </w:r>
          </w:p>
        </w:tc>
      </w:tr>
      <w:tr>
        <w:tc>
          <w:tcPr>
            <w:tcW w:type="dxa" w:w="2880"/>
          </w:tcPr>
          <w:p>
            <w:r/>
            <w:r>
              <w:rPr>
                <w:b/>
                <w:color w:val="24303B"/>
                <w:sz w:val="19"/>
              </w:rPr>
              <w:t>Age</w:t>
            </w:r>
          </w:p>
        </w:tc>
        <w:tc>
          <w:tcPr>
            <w:tcW w:type="dxa" w:w="2880"/>
          </w:tcPr>
          <w:p>
            <w:r/>
            <w:r>
              <w:rPr>
                <w:b w:val="0"/>
                <w:color w:val="2E3B47"/>
                <w:sz w:val="19"/>
              </w:rPr>
              <w:t>eCRF 07, 1.3 Geboortedatum</w:t>
            </w:r>
          </w:p>
        </w:tc>
        <w:tc>
          <w:tcPr>
            <w:tcW w:type="dxa" w:w="2880"/>
          </w:tcPr>
          <w:p>
            <w:r/>
            <w:r>
              <w:rPr>
                <w:b/>
                <w:color w:val="1B7A3D"/>
                <w:sz w:val="19"/>
              </w:rPr>
              <w:t>Gedekt</w:t>
            </w:r>
          </w:p>
        </w:tc>
      </w:tr>
      <w:tr>
        <w:tc>
          <w:tcPr>
            <w:tcW w:type="dxa" w:w="2880"/>
          </w:tcPr>
          <w:p>
            <w:r/>
            <w:r>
              <w:rPr>
                <w:b/>
                <w:color w:val="24303B"/>
                <w:sz w:val="19"/>
              </w:rPr>
              <w:t>Sex</w:t>
            </w:r>
          </w:p>
        </w:tc>
        <w:tc>
          <w:tcPr>
            <w:tcW w:type="dxa" w:w="2880"/>
          </w:tcPr>
          <w:p>
            <w:r/>
            <w:r>
              <w:rPr>
                <w:b w:val="0"/>
                <w:color w:val="2E3B47"/>
                <w:sz w:val="19"/>
              </w:rPr>
              <w:t>eCRF 07, 1.2 Geslacht</w:t>
            </w:r>
          </w:p>
        </w:tc>
        <w:tc>
          <w:tcPr>
            <w:tcW w:type="dxa" w:w="2880"/>
          </w:tcPr>
          <w:p>
            <w:r/>
            <w:r>
              <w:rPr>
                <w:b/>
                <w:color w:val="1B7A3D"/>
                <w:sz w:val="19"/>
              </w:rPr>
              <w:t>Gedekt</w:t>
            </w:r>
          </w:p>
        </w:tc>
      </w:tr>
      <w:tr>
        <w:tc>
          <w:tcPr>
            <w:tcW w:type="dxa" w:w="2880"/>
          </w:tcPr>
          <w:p>
            <w:r/>
            <w:r>
              <w:rPr>
                <w:b/>
                <w:color w:val="24303B"/>
                <w:sz w:val="19"/>
              </w:rPr>
              <w:t>Race/ethnicity</w:t>
            </w:r>
          </w:p>
        </w:tc>
        <w:tc>
          <w:tcPr>
            <w:tcW w:type="dxa" w:w="2880"/>
          </w:tcPr>
          <w:p>
            <w:r/>
            <w:r>
              <w:rPr>
                <w:b w:val="0"/>
                <w:color w:val="2E3B47"/>
                <w:sz w:val="19"/>
              </w:rPr>
              <w:t>Bewust vervangen door 1.13 Geboorteland (AVG/GDPR-motivatie, zie §5)</w:t>
            </w:r>
          </w:p>
        </w:tc>
        <w:tc>
          <w:tcPr>
            <w:tcW w:type="dxa" w:w="2880"/>
          </w:tcPr>
          <w:p>
            <w:r/>
            <w:r>
              <w:rPr>
                <w:b/>
                <w:color w:val="1B7A3D"/>
                <w:sz w:val="19"/>
              </w:rPr>
              <w:t>Gedekt</w:t>
            </w:r>
          </w:p>
        </w:tc>
      </w:tr>
      <w:tr>
        <w:tc>
          <w:tcPr>
            <w:tcW w:type="dxa" w:w="2880"/>
          </w:tcPr>
          <w:p>
            <w:r/>
            <w:r>
              <w:rPr>
                <w:b/>
                <w:color w:val="24303B"/>
                <w:sz w:val="19"/>
              </w:rPr>
              <w:t>BMI</w:t>
            </w:r>
          </w:p>
        </w:tc>
        <w:tc>
          <w:tcPr>
            <w:tcW w:type="dxa" w:w="2880"/>
          </w:tcPr>
          <w:p>
            <w:r/>
            <w:r>
              <w:rPr>
                <w:b w:val="0"/>
                <w:color w:val="2E3B47"/>
                <w:sz w:val="19"/>
              </w:rPr>
              <w:t>eCRF 07, 1.4–1.6 Lengte/Gewicht/BMI</w:t>
            </w:r>
          </w:p>
        </w:tc>
        <w:tc>
          <w:tcPr>
            <w:tcW w:type="dxa" w:w="2880"/>
          </w:tcPr>
          <w:p>
            <w:r/>
            <w:r>
              <w:rPr>
                <w:b/>
                <w:color w:val="1B7A3D"/>
                <w:sz w:val="19"/>
              </w:rPr>
              <w:t>Gedekt</w:t>
            </w:r>
          </w:p>
        </w:tc>
      </w:tr>
      <w:tr>
        <w:tc>
          <w:tcPr>
            <w:tcW w:type="dxa" w:w="2880"/>
          </w:tcPr>
          <w:p>
            <w:r/>
            <w:r>
              <w:rPr>
                <w:b/>
                <w:color w:val="24303B"/>
                <w:sz w:val="19"/>
              </w:rPr>
              <w:t>History of smoking</w:t>
            </w:r>
          </w:p>
        </w:tc>
        <w:tc>
          <w:tcPr>
            <w:tcW w:type="dxa" w:w="2880"/>
          </w:tcPr>
          <w:p>
            <w:r/>
            <w:r>
              <w:rPr>
                <w:b w:val="0"/>
                <w:color w:val="2E3B47"/>
                <w:sz w:val="19"/>
              </w:rPr>
              <w:t>eCRF 07, 2.4 Rookstatus (nooit/ex-/huidige roker)</w:t>
            </w:r>
          </w:p>
        </w:tc>
        <w:tc>
          <w:tcPr>
            <w:tcW w:type="dxa" w:w="2880"/>
          </w:tcPr>
          <w:p>
            <w:r/>
            <w:r>
              <w:rPr>
                <w:b/>
                <w:color w:val="1B7A3D"/>
                <w:sz w:val="19"/>
              </w:rPr>
              <w:t>Gedekt</w:t>
            </w:r>
          </w:p>
        </w:tc>
      </w:tr>
      <w:tr>
        <w:tc>
          <w:tcPr>
            <w:tcW w:type="dxa" w:w="8640"/>
            <w:gridSpan w:val="3"/>
          </w:tcPr>
          <w:p>
            <w:r/>
            <w:r>
              <w:rPr>
                <w:b/>
                <w:color w:val="123A5F"/>
                <w:sz w:val="20"/>
              </w:rPr>
              <w:t>Domein II — Individuele factoren</w:t>
            </w:r>
          </w:p>
        </w:tc>
      </w:tr>
      <w:tr>
        <w:tc>
          <w:tcPr>
            <w:tcW w:type="dxa" w:w="2880"/>
          </w:tcPr>
          <w:p>
            <w:r/>
            <w:r>
              <w:rPr>
                <w:b/>
                <w:color w:val="24303B"/>
                <w:sz w:val="19"/>
              </w:rPr>
              <w:t>Prior diabetes-related foot ulcer</w:t>
            </w:r>
          </w:p>
        </w:tc>
        <w:tc>
          <w:tcPr>
            <w:tcW w:type="dxa" w:w="2880"/>
          </w:tcPr>
          <w:p>
            <w:r/>
            <w:r>
              <w:rPr>
                <w:b w:val="0"/>
                <w:color w:val="2E3B47"/>
                <w:sz w:val="19"/>
              </w:rPr>
              <w:t>Inclusiecriterium + eCRF 06 (ulcushistoriek) + eCRF 07, 2.18</w:t>
            </w:r>
          </w:p>
        </w:tc>
        <w:tc>
          <w:tcPr>
            <w:tcW w:type="dxa" w:w="2880"/>
          </w:tcPr>
          <w:p>
            <w:r/>
            <w:r>
              <w:rPr>
                <w:b/>
                <w:color w:val="1B7A3D"/>
                <w:sz w:val="19"/>
              </w:rPr>
              <w:t>Gedekt</w:t>
            </w:r>
          </w:p>
        </w:tc>
      </w:tr>
      <w:tr>
        <w:tc>
          <w:tcPr>
            <w:tcW w:type="dxa" w:w="2880"/>
          </w:tcPr>
          <w:p>
            <w:r/>
            <w:r>
              <w:rPr>
                <w:b/>
                <w:color w:val="24303B"/>
                <w:sz w:val="19"/>
              </w:rPr>
              <w:t>Diabetes-related neuropathy</w:t>
            </w:r>
          </w:p>
        </w:tc>
        <w:tc>
          <w:tcPr>
            <w:tcW w:type="dxa" w:w="2880"/>
          </w:tcPr>
          <w:p>
            <w:r/>
            <w:r>
              <w:rPr>
                <w:b w:val="0"/>
                <w:color w:val="2E3B47"/>
                <w:sz w:val="19"/>
              </w:rPr>
              <w:t>eCRF 07, 2.11 (monofilament/stemvork)</w:t>
            </w:r>
          </w:p>
        </w:tc>
        <w:tc>
          <w:tcPr>
            <w:tcW w:type="dxa" w:w="2880"/>
          </w:tcPr>
          <w:p>
            <w:r/>
            <w:r>
              <w:rPr>
                <w:b/>
                <w:color w:val="1B7A3D"/>
                <w:sz w:val="19"/>
              </w:rPr>
              <w:t>Gedekt</w:t>
            </w:r>
          </w:p>
        </w:tc>
      </w:tr>
      <w:tr>
        <w:tc>
          <w:tcPr>
            <w:tcW w:type="dxa" w:w="2880"/>
          </w:tcPr>
          <w:p>
            <w:r/>
            <w:r>
              <w:rPr>
                <w:b/>
                <w:color w:val="24303B"/>
                <w:sz w:val="19"/>
              </w:rPr>
              <w:t>Duration of diabetes mellitus</w:t>
            </w:r>
          </w:p>
        </w:tc>
        <w:tc>
          <w:tcPr>
            <w:tcW w:type="dxa" w:w="2880"/>
          </w:tcPr>
          <w:p>
            <w:r/>
            <w:r>
              <w:rPr>
                <w:b w:val="0"/>
                <w:color w:val="2E3B47"/>
                <w:sz w:val="19"/>
              </w:rPr>
              <w:t>eCRF 07, 2.2 Diagnosedatum diabetes (afleidbaar)</w:t>
            </w:r>
          </w:p>
        </w:tc>
        <w:tc>
          <w:tcPr>
            <w:tcW w:type="dxa" w:w="2880"/>
          </w:tcPr>
          <w:p>
            <w:r/>
            <w:r>
              <w:rPr>
                <w:b/>
                <w:color w:val="1B7A3D"/>
                <w:sz w:val="19"/>
              </w:rPr>
              <w:t>Gedekt</w:t>
            </w:r>
          </w:p>
        </w:tc>
      </w:tr>
      <w:tr>
        <w:tc>
          <w:tcPr>
            <w:tcW w:type="dxa" w:w="2880"/>
          </w:tcPr>
          <w:p>
            <w:r/>
            <w:r>
              <w:rPr>
                <w:b/>
                <w:color w:val="24303B"/>
                <w:sz w:val="19"/>
              </w:rPr>
              <w:t>Type of diabetes mellitus</w:t>
            </w:r>
          </w:p>
        </w:tc>
        <w:tc>
          <w:tcPr>
            <w:tcW w:type="dxa" w:w="2880"/>
          </w:tcPr>
          <w:p>
            <w:r/>
            <w:r>
              <w:rPr>
                <w:b w:val="0"/>
                <w:color w:val="2E3B47"/>
                <w:sz w:val="19"/>
              </w:rPr>
              <w:t>eCRF 07, 2.1 Type diabetes</w:t>
            </w:r>
          </w:p>
        </w:tc>
        <w:tc>
          <w:tcPr>
            <w:tcW w:type="dxa" w:w="2880"/>
          </w:tcPr>
          <w:p>
            <w:r/>
            <w:r>
              <w:rPr>
                <w:b/>
                <w:color w:val="1B7A3D"/>
                <w:sz w:val="19"/>
              </w:rPr>
              <w:t>Gedekt</w:t>
            </w:r>
          </w:p>
        </w:tc>
      </w:tr>
      <w:tr>
        <w:tc>
          <w:tcPr>
            <w:tcW w:type="dxa" w:w="2880"/>
          </w:tcPr>
          <w:p>
            <w:r/>
            <w:r>
              <w:rPr>
                <w:b/>
                <w:color w:val="24303B"/>
                <w:sz w:val="19"/>
              </w:rPr>
              <w:t>Heart disease</w:t>
            </w:r>
          </w:p>
        </w:tc>
        <w:tc>
          <w:tcPr>
            <w:tcW w:type="dxa" w:w="2880"/>
          </w:tcPr>
          <w:p>
            <w:r/>
            <w:r>
              <w:rPr>
                <w:b w:val="0"/>
                <w:color w:val="2E3B47"/>
                <w:sz w:val="19"/>
              </w:rPr>
              <w:t>eCRF 07, 2.20 (toegevoegd bij vorige doorlichting)</w:t>
            </w:r>
          </w:p>
        </w:tc>
        <w:tc>
          <w:tcPr>
            <w:tcW w:type="dxa" w:w="2880"/>
          </w:tcPr>
          <w:p>
            <w:r/>
            <w:r>
              <w:rPr>
                <w:b/>
                <w:color w:val="1B7A3D"/>
                <w:sz w:val="19"/>
              </w:rPr>
              <w:t>Gedekt</w:t>
            </w:r>
          </w:p>
        </w:tc>
      </w:tr>
      <w:tr>
        <w:tc>
          <w:tcPr>
            <w:tcW w:type="dxa" w:w="2880"/>
          </w:tcPr>
          <w:p>
            <w:r/>
            <w:r>
              <w:rPr>
                <w:b/>
                <w:color w:val="24303B"/>
                <w:sz w:val="19"/>
              </w:rPr>
              <w:t>Chronic kidney disease stage</w:t>
            </w:r>
          </w:p>
        </w:tc>
        <w:tc>
          <w:tcPr>
            <w:tcW w:type="dxa" w:w="2880"/>
          </w:tcPr>
          <w:p>
            <w:r/>
            <w:r>
              <w:rPr>
                <w:b w:val="0"/>
                <w:color w:val="2E3B47"/>
                <w:sz w:val="19"/>
              </w:rPr>
              <w:t>eCRF 07, 2.22 CKD-stadium KDIGO (toegevoegd bij vorige doorlichting)</w:t>
            </w:r>
          </w:p>
        </w:tc>
        <w:tc>
          <w:tcPr>
            <w:tcW w:type="dxa" w:w="2880"/>
          </w:tcPr>
          <w:p>
            <w:r/>
            <w:r>
              <w:rPr>
                <w:b/>
                <w:color w:val="1B7A3D"/>
                <w:sz w:val="19"/>
              </w:rPr>
              <w:t>Gedekt</w:t>
            </w:r>
          </w:p>
        </w:tc>
      </w:tr>
      <w:tr>
        <w:tc>
          <w:tcPr>
            <w:tcW w:type="dxa" w:w="8640"/>
            <w:gridSpan w:val="3"/>
          </w:tcPr>
          <w:p>
            <w:r/>
            <w:r>
              <w:rPr>
                <w:b/>
                <w:color w:val="123A5F"/>
                <w:sz w:val="20"/>
              </w:rPr>
              <w:t>Domein III — Ulcuskenmerken</w:t>
            </w:r>
          </w:p>
        </w:tc>
      </w:tr>
      <w:tr>
        <w:tc>
          <w:tcPr>
            <w:tcW w:type="dxa" w:w="2880"/>
          </w:tcPr>
          <w:p>
            <w:r/>
            <w:r>
              <w:rPr>
                <w:b/>
                <w:color w:val="24303B"/>
                <w:sz w:val="19"/>
              </w:rPr>
              <w:t>Osteomyelitis</w:t>
            </w:r>
          </w:p>
        </w:tc>
        <w:tc>
          <w:tcPr>
            <w:tcW w:type="dxa" w:w="2880"/>
          </w:tcPr>
          <w:p>
            <w:r/>
            <w:r>
              <w:rPr>
                <w:b w:val="0"/>
                <w:color w:val="2E3B47"/>
                <w:sz w:val="19"/>
              </w:rPr>
              <w:t>eCRF 07, 2.18 (kwalificerend ulcus)</w:t>
            </w:r>
          </w:p>
        </w:tc>
        <w:tc>
          <w:tcPr>
            <w:tcW w:type="dxa" w:w="2880"/>
          </w:tcPr>
          <w:p>
            <w:r/>
            <w:r>
              <w:rPr>
                <w:b/>
                <w:color w:val="1B7A3D"/>
                <w:sz w:val="19"/>
              </w:rPr>
              <w:t>Gedekt</w:t>
            </w:r>
          </w:p>
        </w:tc>
      </w:tr>
      <w:tr>
        <w:tc>
          <w:tcPr>
            <w:tcW w:type="dxa" w:w="2880"/>
          </w:tcPr>
          <w:p>
            <w:r/>
            <w:r>
              <w:rPr>
                <w:b/>
                <w:color w:val="24303B"/>
                <w:sz w:val="19"/>
              </w:rPr>
              <w:t>Ulcer location</w:t>
            </w:r>
          </w:p>
        </w:tc>
        <w:tc>
          <w:tcPr>
            <w:tcW w:type="dxa" w:w="2880"/>
          </w:tcPr>
          <w:p>
            <w:r/>
            <w:r>
              <w:rPr>
                <w:b w:val="0"/>
                <w:color w:val="2E3B47"/>
                <w:sz w:val="19"/>
              </w:rPr>
              <w:t>eCRF 06 (ulcustabel) + eCRF 07, 2.18</w:t>
            </w:r>
          </w:p>
        </w:tc>
        <w:tc>
          <w:tcPr>
            <w:tcW w:type="dxa" w:w="2880"/>
          </w:tcPr>
          <w:p>
            <w:r/>
            <w:r>
              <w:rPr>
                <w:b/>
                <w:color w:val="1B7A3D"/>
                <w:sz w:val="19"/>
              </w:rPr>
              <w:t>Gedekt</w:t>
            </w:r>
          </w:p>
        </w:tc>
      </w:tr>
      <w:tr>
        <w:tc>
          <w:tcPr>
            <w:tcW w:type="dxa" w:w="2880"/>
          </w:tcPr>
          <w:p>
            <w:r/>
            <w:r>
              <w:rPr>
                <w:b/>
                <w:color w:val="24303B"/>
                <w:sz w:val="19"/>
              </w:rPr>
              <w:t>Soft tissue infection/cellulitis</w:t>
            </w:r>
          </w:p>
        </w:tc>
        <w:tc>
          <w:tcPr>
            <w:tcW w:type="dxa" w:w="2880"/>
          </w:tcPr>
          <w:p>
            <w:r/>
            <w:r>
              <w:rPr>
                <w:b w:val="0"/>
                <w:color w:val="2E3B47"/>
                <w:sz w:val="19"/>
              </w:rPr>
              <w:t>eCRF 07, 2.18 (kwalificerend ulcus)</w:t>
            </w:r>
          </w:p>
        </w:tc>
        <w:tc>
          <w:tcPr>
            <w:tcW w:type="dxa" w:w="2880"/>
          </w:tcPr>
          <w:p>
            <w:r/>
            <w:r>
              <w:rPr>
                <w:b/>
                <w:color w:val="1B7A3D"/>
                <w:sz w:val="19"/>
              </w:rPr>
              <w:t>Gedekt</w:t>
            </w:r>
          </w:p>
        </w:tc>
      </w:tr>
      <w:tr>
        <w:tc>
          <w:tcPr>
            <w:tcW w:type="dxa" w:w="2880"/>
          </w:tcPr>
          <w:p>
            <w:r/>
            <w:r>
              <w:rPr>
                <w:b/>
                <w:color w:val="24303B"/>
                <w:sz w:val="19"/>
              </w:rPr>
              <w:t>Duration of ulceration</w:t>
            </w:r>
          </w:p>
        </w:tc>
        <w:tc>
          <w:tcPr>
            <w:tcW w:type="dxa" w:w="2880"/>
          </w:tcPr>
          <w:p>
            <w:r/>
            <w:r>
              <w:rPr>
                <w:b w:val="0"/>
                <w:color w:val="2E3B47"/>
                <w:sz w:val="19"/>
              </w:rPr>
              <w:t>eCRF 07, 2.18 (datum ontstaan/genezing)</w:t>
            </w:r>
          </w:p>
        </w:tc>
        <w:tc>
          <w:tcPr>
            <w:tcW w:type="dxa" w:w="2880"/>
          </w:tcPr>
          <w:p>
            <w:r/>
            <w:r>
              <w:rPr>
                <w:b/>
                <w:color w:val="1B7A3D"/>
                <w:sz w:val="19"/>
              </w:rPr>
              <w:t>Gedekt</w:t>
            </w:r>
          </w:p>
        </w:tc>
      </w:tr>
      <w:tr>
        <w:tc>
          <w:tcPr>
            <w:tcW w:type="dxa" w:w="2880"/>
          </w:tcPr>
          <w:p>
            <w:r/>
            <w:r>
              <w:rPr>
                <w:b/>
                <w:color w:val="24303B"/>
                <w:sz w:val="19"/>
              </w:rPr>
              <w:t>Baseline ulcer size</w:t>
            </w:r>
          </w:p>
        </w:tc>
        <w:tc>
          <w:tcPr>
            <w:tcW w:type="dxa" w:w="2880"/>
          </w:tcPr>
          <w:p>
            <w:r/>
            <w:r>
              <w:rPr>
                <w:b w:val="0"/>
                <w:color w:val="2E3B47"/>
                <w:sz w:val="19"/>
              </w:rPr>
              <w:t>eCRF 07, 2.18 (grootte in cm²)</w:t>
            </w:r>
          </w:p>
        </w:tc>
        <w:tc>
          <w:tcPr>
            <w:tcW w:type="dxa" w:w="2880"/>
          </w:tcPr>
          <w:p>
            <w:r/>
            <w:r>
              <w:rPr>
                <w:b/>
                <w:color w:val="1B7A3D"/>
                <w:sz w:val="19"/>
              </w:rPr>
              <w:t>Gedekt</w:t>
            </w:r>
          </w:p>
        </w:tc>
      </w:tr>
      <w:tr>
        <w:tc>
          <w:tcPr>
            <w:tcW w:type="dxa" w:w="2880"/>
          </w:tcPr>
          <w:p>
            <w:r/>
            <w:r>
              <w:rPr>
                <w:b/>
                <w:color w:val="24303B"/>
                <w:sz w:val="19"/>
              </w:rPr>
              <w:t>Ulcer depth</w:t>
            </w:r>
          </w:p>
        </w:tc>
        <w:tc>
          <w:tcPr>
            <w:tcW w:type="dxa" w:w="2880"/>
          </w:tcPr>
          <w:p>
            <w:r/>
            <w:r>
              <w:rPr>
                <w:b w:val="0"/>
                <w:color w:val="2E3B47"/>
                <w:sz w:val="19"/>
              </w:rPr>
              <w:t>eCRF 07, 2.18 (oppervlakkig/pees-kapsel/bot-gewricht)</w:t>
            </w:r>
          </w:p>
        </w:tc>
        <w:tc>
          <w:tcPr>
            <w:tcW w:type="dxa" w:w="2880"/>
          </w:tcPr>
          <w:p>
            <w:r/>
            <w:r>
              <w:rPr>
                <w:b/>
                <w:color w:val="1B7A3D"/>
                <w:sz w:val="19"/>
              </w:rPr>
              <w:t>Gedekt</w:t>
            </w:r>
          </w:p>
        </w:tc>
      </w:tr>
      <w:tr>
        <w:tc>
          <w:tcPr>
            <w:tcW w:type="dxa" w:w="8640"/>
            <w:gridSpan w:val="3"/>
          </w:tcPr>
          <w:p>
            <w:r/>
            <w:r>
              <w:rPr>
                <w:b/>
                <w:color w:val="123A5F"/>
                <w:sz w:val="20"/>
              </w:rPr>
              <w:t>Domein IV — Limbkenmerken</w:t>
            </w:r>
          </w:p>
        </w:tc>
      </w:tr>
      <w:tr>
        <w:tc>
          <w:tcPr>
            <w:tcW w:type="dxa" w:w="2880"/>
          </w:tcPr>
          <w:p>
            <w:r/>
            <w:r>
              <w:rPr>
                <w:b/>
                <w:color w:val="24303B"/>
                <w:sz w:val="19"/>
              </w:rPr>
              <w:t>Perfusion</w:t>
            </w:r>
          </w:p>
        </w:tc>
        <w:tc>
          <w:tcPr>
            <w:tcW w:type="dxa" w:w="2880"/>
          </w:tcPr>
          <w:p>
            <w:r/>
            <w:r>
              <w:rPr>
                <w:b w:val="0"/>
                <w:color w:val="2E3B47"/>
                <w:sz w:val="19"/>
              </w:rPr>
              <w:t>eCRF 07, 2.12 (ABI/pulsaties)</w:t>
            </w:r>
          </w:p>
        </w:tc>
        <w:tc>
          <w:tcPr>
            <w:tcW w:type="dxa" w:w="2880"/>
          </w:tcPr>
          <w:p>
            <w:r/>
            <w:r>
              <w:rPr>
                <w:b/>
                <w:color w:val="1B7A3D"/>
                <w:sz w:val="19"/>
              </w:rPr>
              <w:t>Gedekt</w:t>
            </w:r>
          </w:p>
        </w:tc>
      </w:tr>
      <w:tr>
        <w:tc>
          <w:tcPr>
            <w:tcW w:type="dxa" w:w="2880"/>
          </w:tcPr>
          <w:p>
            <w:r/>
            <w:r>
              <w:rPr>
                <w:b/>
                <w:color w:val="24303B"/>
                <w:sz w:val="19"/>
              </w:rPr>
              <w:t>Peripheral arterial disease</w:t>
            </w:r>
          </w:p>
        </w:tc>
        <w:tc>
          <w:tcPr>
            <w:tcW w:type="dxa" w:w="2880"/>
          </w:tcPr>
          <w:p>
            <w:r/>
            <w:r>
              <w:rPr>
                <w:b w:val="0"/>
                <w:color w:val="2E3B47"/>
                <w:sz w:val="19"/>
              </w:rPr>
              <w:t>eCRF 07, 2.12 (PAD-diagnose arts)</w:t>
            </w:r>
          </w:p>
        </w:tc>
        <w:tc>
          <w:tcPr>
            <w:tcW w:type="dxa" w:w="2880"/>
          </w:tcPr>
          <w:p>
            <w:r/>
            <w:r>
              <w:rPr>
                <w:b/>
                <w:color w:val="1B7A3D"/>
                <w:sz w:val="19"/>
              </w:rPr>
              <w:t>Gedekt</w:t>
            </w:r>
          </w:p>
        </w:tc>
      </w:tr>
      <w:tr>
        <w:tc>
          <w:tcPr>
            <w:tcW w:type="dxa" w:w="8640"/>
            <w:gridSpan w:val="3"/>
          </w:tcPr>
          <w:p>
            <w:r/>
            <w:r>
              <w:rPr>
                <w:b/>
                <w:color w:val="123A5F"/>
                <w:sz w:val="20"/>
              </w:rPr>
              <w:t>Domein V — Lopende medische interventies</w:t>
            </w:r>
          </w:p>
        </w:tc>
      </w:tr>
      <w:tr>
        <w:tc>
          <w:tcPr>
            <w:tcW w:type="dxa" w:w="2880"/>
          </w:tcPr>
          <w:p>
            <w:r/>
            <w:r>
              <w:rPr>
                <w:b/>
                <w:color w:val="24303B"/>
                <w:sz w:val="19"/>
              </w:rPr>
              <w:t>Current use of antibiotics</w:t>
            </w:r>
          </w:p>
        </w:tc>
        <w:tc>
          <w:tcPr>
            <w:tcW w:type="dxa" w:w="2880"/>
          </w:tcPr>
          <w:p>
            <w:r/>
            <w:r>
              <w:rPr>
                <w:b w:val="0"/>
                <w:color w:val="2E3B47"/>
                <w:sz w:val="19"/>
              </w:rPr>
              <w:t>eCRF 07, 2.24 (nieuw toegevoegd)</w:t>
            </w:r>
          </w:p>
        </w:tc>
        <w:tc>
          <w:tcPr>
            <w:tcW w:type="dxa" w:w="2880"/>
          </w:tcPr>
          <w:p>
            <w:r/>
            <w:r>
              <w:rPr>
                <w:b/>
                <w:color w:val="1B7A3D"/>
                <w:sz w:val="19"/>
              </w:rPr>
              <w:t>Gedekt</w:t>
            </w:r>
          </w:p>
        </w:tc>
      </w:tr>
      <w:tr>
        <w:tc>
          <w:tcPr>
            <w:tcW w:type="dxa" w:w="2880"/>
          </w:tcPr>
          <w:p>
            <w:r/>
            <w:r>
              <w:rPr>
                <w:b/>
                <w:color w:val="24303B"/>
                <w:sz w:val="19"/>
              </w:rPr>
              <w:t>Offloading treatments</w:t>
            </w:r>
          </w:p>
        </w:tc>
        <w:tc>
          <w:tcPr>
            <w:tcW w:type="dxa" w:w="2880"/>
          </w:tcPr>
          <w:p>
            <w:r/>
            <w:r>
              <w:rPr>
                <w:b w:val="0"/>
                <w:color w:val="2E3B47"/>
                <w:sz w:val="19"/>
              </w:rPr>
              <w:t>De volledige CMFO/schoeisel-interventie — kern van de studie</w:t>
            </w:r>
          </w:p>
        </w:tc>
        <w:tc>
          <w:tcPr>
            <w:tcW w:type="dxa" w:w="2880"/>
          </w:tcPr>
          <w:p>
            <w:r/>
            <w:r>
              <w:rPr>
                <w:b/>
                <w:color w:val="1B7A3D"/>
                <w:sz w:val="19"/>
              </w:rPr>
              <w:t>Gedekt</w:t>
            </w:r>
          </w:p>
        </w:tc>
      </w:tr>
      <w:tr>
        <w:tc>
          <w:tcPr>
            <w:tcW w:type="dxa" w:w="8640"/>
            <w:gridSpan w:val="3"/>
          </w:tcPr>
          <w:p>
            <w:r/>
            <w:r>
              <w:rPr>
                <w:b/>
                <w:color w:val="123A5F"/>
                <w:sz w:val="20"/>
              </w:rPr>
              <w:t>Domein VI — Eerdere chirurgische interventies</w:t>
            </w:r>
          </w:p>
        </w:tc>
      </w:tr>
      <w:tr>
        <w:tc>
          <w:tcPr>
            <w:tcW w:type="dxa" w:w="2880"/>
          </w:tcPr>
          <w:p>
            <w:r/>
            <w:r>
              <w:rPr>
                <w:b/>
                <w:color w:val="24303B"/>
                <w:sz w:val="19"/>
              </w:rPr>
              <w:t>Previous amputation (minor/major)</w:t>
            </w:r>
          </w:p>
        </w:tc>
        <w:tc>
          <w:tcPr>
            <w:tcW w:type="dxa" w:w="2880"/>
          </w:tcPr>
          <w:p>
            <w:r/>
            <w:r>
              <w:rPr>
                <w:b w:val="0"/>
                <w:color w:val="2E3B47"/>
                <w:sz w:val="19"/>
              </w:rPr>
              <w:t>eCRF 07, 2.19</w:t>
            </w:r>
          </w:p>
        </w:tc>
        <w:tc>
          <w:tcPr>
            <w:tcW w:type="dxa" w:w="2880"/>
          </w:tcPr>
          <w:p>
            <w:r/>
            <w:r>
              <w:rPr>
                <w:b/>
                <w:color w:val="1B7A3D"/>
                <w:sz w:val="19"/>
              </w:rPr>
              <w:t>Gedekt</w:t>
            </w:r>
          </w:p>
        </w:tc>
      </w:tr>
      <w:tr>
        <w:tc>
          <w:tcPr>
            <w:tcW w:type="dxa" w:w="8640"/>
            <w:gridSpan w:val="3"/>
          </w:tcPr>
          <w:p>
            <w:r/>
            <w:r>
              <w:rPr>
                <w:b/>
                <w:color w:val="123A5F"/>
                <w:sz w:val="20"/>
              </w:rPr>
              <w:t>Domein VII — Medicatiegeschiedenis</w:t>
            </w:r>
          </w:p>
        </w:tc>
      </w:tr>
      <w:tr>
        <w:tc>
          <w:tcPr>
            <w:tcW w:type="dxa" w:w="2880"/>
          </w:tcPr>
          <w:p>
            <w:r/>
            <w:r>
              <w:rPr>
                <w:b/>
                <w:color w:val="24303B"/>
                <w:sz w:val="19"/>
              </w:rPr>
              <w:t>Insulin / oral glucose-lowering / non-insulin injectables</w:t>
            </w:r>
          </w:p>
        </w:tc>
        <w:tc>
          <w:tcPr>
            <w:tcW w:type="dxa" w:w="2880"/>
          </w:tcPr>
          <w:p>
            <w:r/>
            <w:r>
              <w:rPr>
                <w:b w:val="0"/>
                <w:color w:val="2E3B47"/>
                <w:sz w:val="19"/>
              </w:rPr>
              <w:t>eCRF 07, 2.23 (toegevoegd bij vorige doorlichting)</w:t>
            </w:r>
          </w:p>
        </w:tc>
        <w:tc>
          <w:tcPr>
            <w:tcW w:type="dxa" w:w="2880"/>
          </w:tcPr>
          <w:p>
            <w:r/>
            <w:r>
              <w:rPr>
                <w:b/>
                <w:color w:val="1B7A3D"/>
                <w:sz w:val="19"/>
              </w:rPr>
              <w:t>Gedekt</w:t>
            </w:r>
          </w:p>
        </w:tc>
      </w:tr>
      <w:tr>
        <w:tc>
          <w:tcPr>
            <w:tcW w:type="dxa" w:w="8640"/>
            <w:gridSpan w:val="3"/>
          </w:tcPr>
          <w:p>
            <w:r/>
            <w:r>
              <w:rPr>
                <w:b/>
                <w:color w:val="123A5F"/>
                <w:sz w:val="20"/>
              </w:rPr>
              <w:t>Domein VIII — Biochemische metingen</w:t>
            </w:r>
          </w:p>
        </w:tc>
      </w:tr>
      <w:tr>
        <w:tc>
          <w:tcPr>
            <w:tcW w:type="dxa" w:w="2880"/>
          </w:tcPr>
          <w:p>
            <w:r/>
            <w:r>
              <w:rPr>
                <w:b/>
                <w:color w:val="24303B"/>
                <w:sz w:val="19"/>
              </w:rPr>
              <w:t>Glycaemic management (HbA1c)</w:t>
            </w:r>
          </w:p>
        </w:tc>
        <w:tc>
          <w:tcPr>
            <w:tcW w:type="dxa" w:w="2880"/>
          </w:tcPr>
          <w:p>
            <w:r/>
            <w:r>
              <w:rPr>
                <w:b w:val="0"/>
                <w:color w:val="2E3B47"/>
                <w:sz w:val="19"/>
              </w:rPr>
              <w:t>eCRF 07, 2.3</w:t>
            </w:r>
          </w:p>
        </w:tc>
        <w:tc>
          <w:tcPr>
            <w:tcW w:type="dxa" w:w="2880"/>
          </w:tcPr>
          <w:p>
            <w:r/>
            <w:r>
              <w:rPr>
                <w:b/>
                <w:color w:val="1B7A3D"/>
                <w:sz w:val="19"/>
              </w:rPr>
              <w:t>Gedekt</w:t>
            </w:r>
          </w:p>
        </w:tc>
      </w:tr>
      <w:tr>
        <w:tc>
          <w:tcPr>
            <w:tcW w:type="dxa" w:w="2880"/>
          </w:tcPr>
          <w:p>
            <w:r/>
            <w:r>
              <w:rPr>
                <w:b/>
                <w:color w:val="24303B"/>
                <w:sz w:val="19"/>
              </w:rPr>
              <w:t>eGFR</w:t>
            </w:r>
          </w:p>
        </w:tc>
        <w:tc>
          <w:tcPr>
            <w:tcW w:type="dxa" w:w="2880"/>
          </w:tcPr>
          <w:p>
            <w:r/>
            <w:r>
              <w:rPr>
                <w:b w:val="0"/>
                <w:color w:val="2E3B47"/>
                <w:sz w:val="19"/>
              </w:rPr>
              <w:t>eCRF 07, 2.21 (toegevoegd bij vorige doorlichting)</w:t>
            </w:r>
          </w:p>
        </w:tc>
        <w:tc>
          <w:tcPr>
            <w:tcW w:type="dxa" w:w="2880"/>
          </w:tcPr>
          <w:p>
            <w:r/>
            <w:r>
              <w:rPr>
                <w:b/>
                <w:color w:val="1B7A3D"/>
                <w:sz w:val="19"/>
              </w:rPr>
              <w:t>Gedekt</w:t>
            </w:r>
          </w:p>
        </w:tc>
      </w:tr>
      <w:tr>
        <w:tc>
          <w:tcPr>
            <w:tcW w:type="dxa" w:w="8640"/>
            <w:gridSpan w:val="3"/>
          </w:tcPr>
          <w:p>
            <w:r/>
            <w:r>
              <w:rPr>
                <w:b/>
                <w:color w:val="123A5F"/>
                <w:sz w:val="20"/>
              </w:rPr>
              <w:t>Domein IX — QoL/functie/symptomen</w:t>
            </w:r>
          </w:p>
        </w:tc>
      </w:tr>
      <w:tr>
        <w:tc>
          <w:tcPr>
            <w:tcW w:type="dxa" w:w="2880"/>
          </w:tcPr>
          <w:p>
            <w:r/>
            <w:r>
              <w:rPr>
                <w:b/>
                <w:color w:val="24303B"/>
                <w:sz w:val="19"/>
              </w:rPr>
              <w:t>Health-related quality of life</w:t>
            </w:r>
          </w:p>
        </w:tc>
        <w:tc>
          <w:tcPr>
            <w:tcW w:type="dxa" w:w="2880"/>
          </w:tcPr>
          <w:p>
            <w:r/>
            <w:r>
              <w:rPr>
                <w:b w:val="0"/>
                <w:color w:val="2E3B47"/>
                <w:sz w:val="19"/>
              </w:rPr>
              <w:t>eCRF 21 (EQ-5D-5L) — zelfde instrument als bij het COS-eindpunt</w:t>
            </w:r>
          </w:p>
        </w:tc>
        <w:tc>
          <w:tcPr>
            <w:tcW w:type="dxa" w:w="2880"/>
          </w:tcPr>
          <w:p>
            <w:r/>
            <w:r>
              <w:rPr>
                <w:b/>
                <w:color w:val="1B7A3D"/>
                <w:sz w:val="19"/>
              </w:rPr>
              <w:t>Gedekt</w:t>
            </w:r>
          </w:p>
        </w:tc>
      </w:tr>
    </w:tbl>
    <w:p>
      <w:pPr>
        <w:spacing w:before="320"/>
      </w:pPr>
      <w:r>
        <w:rPr>
          <w:b/>
          <w:color w:val="123A5F"/>
          <w:sz w:val="28"/>
        </w:rPr>
        <w:t>5. TO DO — openstaande actiepunten voor EC-indiening</w:t>
      </w:r>
    </w:p>
    <w:p>
      <w:r>
        <w:rPr>
          <w:i w:val="0"/>
          <w:color w:val="2E3B47"/>
        </w:rPr>
        <w:t>Dit zijn geen structurele gaten meer — de traceability is volledig. Onderstaande punten vragen wel nog een bewuste keuze of handeling van uw kant vóór indiening:</w:t>
      </w:r>
    </w:p>
    <w:p>
      <w:pPr>
        <w:spacing w:before="160"/>
      </w:pPr>
      <w:r>
        <w:rPr>
          <w:b/>
          <w:color w:val="123A5F"/>
          <w:sz w:val="23"/>
        </w:rPr>
        <w:t>5.1 Nog te beoordelen rode notities in het protocol</w:t>
      </w:r>
    </w:p>
    <w:p>
      <w:r>
        <w:rPr>
          <w:i w:val="0"/>
          <w:color w:val="2E3B47"/>
        </w:rPr>
        <w:t>Drie notities staan nog open (allemaal deze sessie toegevoegd, dus nog niet door u bekeken):</w:t>
      </w:r>
    </w:p>
    <w:p>
      <w:pPr>
        <w:pStyle w:val="ListNumber"/>
      </w:pPr>
      <w:r>
        <w:rPr>
          <w:color w:val="2E3B47"/>
        </w:rPr>
        <w:t>Doc 12 (VAS-tevredenheid) — herhaling bij V8 toegevoegd aan §5.5.2/§5.5.5; notitie bevestigt de beslissing</w:t>
      </w:r>
    </w:p>
    <w:p>
      <w:pPr>
        <w:pStyle w:val="ListNumber"/>
      </w:pPr>
      <w:r>
        <w:rPr>
          <w:color w:val="2E3B47"/>
        </w:rPr>
        <w:t>Interviewaantal in §5.6/§7.1 — herschreven naar 3 stakeholdergroepen (36–48 interviews i.p.v. het foutieve ‘32’)</w:t>
      </w:r>
    </w:p>
    <w:p>
      <w:pPr>
        <w:pStyle w:val="ListNumber"/>
      </w:pPr>
      <w:r>
        <w:rPr>
          <w:color w:val="2E3B47"/>
        </w:rPr>
        <w:t>§7.1 statistiek — “twee primaire eindpunten” gecorrigeerd naar “eerste co-primaire eindpunt”</w:t>
      </w:r>
    </w:p>
    <w:p>
      <w:r>
        <w:rPr>
          <w:i/>
          <w:color w:val="59636E"/>
        </w:rPr>
        <w:t>Als u akkoord bent met de tekst, kan u deze notities zoals gebruikelijk zelf verwijderen tijdens uw laatste doorloop.</w:t>
      </w:r>
    </w:p>
    <w:p>
      <w:pPr>
        <w:spacing w:before="160"/>
      </w:pPr>
      <w:r>
        <w:rPr>
          <w:b/>
          <w:color w:val="123A5F"/>
          <w:sz w:val="23"/>
        </w:rPr>
        <w:t>5.2 Geboorteland als proxy voor race/ethnicity (niet dringend)</w:t>
      </w:r>
    </w:p>
    <w:p>
      <w:r>
        <w:rPr>
          <w:i w:val="0"/>
          <w:color w:val="59636E"/>
        </w:rPr>
        <w:t>Bevestigd: geboorteland (eCRF 07, 1.13) blijft de gekozen proxy. Geen actie nu nodig — enkel bij een eventuele publicatie is het nuttig om deze bewuste afwijking van de letterlijke CDS-aanbeveling (omwille van AVG/GDPR) kort te motiveren in de methodesectie.</w:t>
      </w:r>
    </w:p>
    <w:p>
      <w:pPr>
        <w:spacing w:before="160"/>
      </w:pPr>
      <w:r>
        <w:rPr>
          <w:b/>
          <w:color w:val="123A5F"/>
          <w:sz w:val="23"/>
        </w:rPr>
        <w:t>5.3 Referentielijst — bibliografie was niet ingevoegd (opgelost) + dubbels na te kijken</w:t>
      </w:r>
    </w:p>
    <w:p>
      <w:r>
        <w:rPr>
          <w:color w:val="2E3B47"/>
        </w:rPr>
        <w:t>Bevinding: de protocoltekst bevatte 68 Mendeley-citatievelden die correct als superscript renderden (referentienummers 1 t.e.m. 42), maar de bibliografie zelf was nooit onder “12. References” ingevoegd — die sectie was leeg. Voor een EC-indiening is dat een blokkerend punt: de lezer kan geen enkele bronverwijzing natrekken.</w:t>
      </w:r>
    </w:p>
    <w:p>
      <w:r>
        <w:rPr>
          <w:color w:val="2E3B47"/>
        </w:rPr>
        <w:t>Actie ondernomen: de volledige lijst (1–42) is gereconstrueerd uit de ingebedde citatiedata en toegevoegd onder §12, aangevuld met de twee nieuwe artikelen als referentie 43 (Core Outcome Set, Diabetes Care 2024) en 44 (Core Descriptor Set, Diabetologia 2026).</w:t>
      </w:r>
    </w:p>
    <w:p>
      <w:r>
        <w:rPr>
          <w:color w:val="B03A2E"/>
        </w:rPr>
        <w:t>Nog na te kijken door u: enkele bronnen staan dubbel in de Mendeley-bibliotheek en kregen daardoor twee verschillende nummers — 16≡19, 17≡22, 18≡25, 29≡33, en 28≈40. Ook ontbreekt bij referentie 20 de auteur en bij 37 het jaartal. Dit is het zuiverst op te lossen door de dubbels in Mendeley samen te voegen en daarna in Word de bibliografie opnieuw te laten genereren; die stap vervangt dan de nu ingevoegde tekstlijst.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