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B3A5C"/>
          <w:sz w:val="30"/>
        </w:rPr>
        <w:t>Online supplemental file 1. SPIRIT 2025 checklist</w:t>
      </w:r>
    </w:p>
    <w:p>
      <w:pPr>
        <w:spacing w:after="200"/>
      </w:pPr>
      <w:r>
        <w:rPr>
          <w:i w:val="0"/>
          <w:color w:val="1B3A5C"/>
          <w:sz w:val="19"/>
        </w:rPr>
        <w:t>Integrating offloading, adherence monitoring and behaviour change to prevent diabetic foot ulcer recurrence: protocol for the PARADISE multicentre randomised controlled trial</w:t>
      </w:r>
    </w:p>
    <w:p>
      <w:pPr>
        <w:spacing w:after="120"/>
      </w:pPr>
      <w:r>
        <w:rPr>
          <w:i w:val="0"/>
          <w:color w:val="5A6B7D"/>
          <w:sz w:val="18"/>
        </w:rPr>
        <w:t>Page numbers refer to the submitted manuscript. Where an item is addressed in a table, figure or online supplemental file, that location is given as well.</w:t>
      </w:r>
    </w:p>
    <w:p>
      <w:pPr>
        <w:spacing w:after="240"/>
      </w:pPr>
      <w:r>
        <w:rPr>
          <w:i/>
          <w:color w:val="5A6B7D"/>
          <w:sz w:val="17"/>
        </w:rPr>
        <w:t>Reference: Chan A-W, Boutron I, Hopewell S, Moher D, Schulz KF, Collins GS, et al. SPIRIT 2025 statement: updated guideline for protocols of randomised trials. BMJ. 2025;389:e081477.</w:t>
      </w:r>
    </w:p>
    <w:tbl>
      <w:tblPr>
        <w:tblW w:type="auto" w:w="0"/>
        <w:jc w:val="center"/>
        <w:tblLook w:firstColumn="1" w:firstRow="1" w:lastColumn="0" w:lastRow="0" w:noHBand="0" w:noVBand="1" w:val="04A0"/>
      </w:tblPr>
      <w:tblGrid>
        <w:gridCol w:w="2550"/>
        <w:gridCol w:w="2550"/>
        <w:gridCol w:w="2550"/>
        <w:gridCol w:w="2550"/>
      </w:tblGrid>
      <w:tr>
        <w:tc>
          <w:tcPr>
            <w:tcW w:type="dxa" w:w="2041"/>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Section / topic</w:t>
            </w:r>
          </w:p>
        </w:tc>
        <w:tc>
          <w:tcPr>
            <w:tcW w:type="dxa" w:w="737"/>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Item</w:t>
            </w:r>
          </w:p>
        </w:tc>
        <w:tc>
          <w:tcPr>
            <w:tcW w:type="dxa" w:w="4195"/>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SPIRIT 2025 checklist item</w:t>
            </w:r>
          </w:p>
        </w:tc>
        <w:tc>
          <w:tcPr>
            <w:tcW w:type="dxa" w:w="3118"/>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Where addressed in the protocol</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Administrative information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Title and structured summary</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Title stating the trial design, population, and interventions, with identification as a protocol</w:t>
            </w:r>
          </w:p>
        </w:tc>
        <w:tc>
          <w:tcPr>
            <w:tcW w:type="dxa" w:w="3118"/>
            <w:tcBorders>
              <w:top w:val="single" w:sz="4" w:color="C8D3DE"/>
              <w:left w:val="single" w:sz="4" w:color="C8D3DE"/>
              <w:bottom w:val="single" w:sz="4" w:color="C8D3DE"/>
              <w:right w:val="single" w:sz="4" w:color="C8D3DE"/>
            </w:tcBorders>
          </w:tcPr>
          <w:p>
            <w:pPr>
              <w:spacing w:before="40" w:after="40"/>
            </w:pPr>
            <w:r>
              <w:t>Title page (p. 1)</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Structured summary of trial design and methods, including items from the World Health Organization Trial Registration Data Set</w:t>
            </w:r>
          </w:p>
        </w:tc>
        <w:tc>
          <w:tcPr>
            <w:tcW w:type="dxa" w:w="3118"/>
            <w:tcBorders>
              <w:top w:val="single" w:sz="4" w:color="C8D3DE"/>
              <w:left w:val="single" w:sz="4" w:color="C8D3DE"/>
              <w:bottom w:val="single" w:sz="4" w:color="C8D3DE"/>
              <w:right w:val="single" w:sz="4" w:color="C8D3DE"/>
            </w:tcBorders>
          </w:tcPr>
          <w:p>
            <w:pPr>
              <w:spacing w:before="40" w:after="40"/>
            </w:pPr>
            <w:r>
              <w:t>Abstract (p. 2); the WHO Trial Registration Data Set is held in the trial registry</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Protocol version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Version date and identifier</w:t>
            </w:r>
          </w:p>
        </w:tc>
        <w:tc>
          <w:tcPr>
            <w:tcW w:type="dxa" w:w="3118"/>
            <w:tcBorders>
              <w:top w:val="single" w:sz="4" w:color="C8D3DE"/>
              <w:left w:val="single" w:sz="4" w:color="C8D3DE"/>
              <w:bottom w:val="single" w:sz="4" w:color="C8D3DE"/>
              <w:right w:val="single" w:sz="4" w:color="C8D3DE"/>
            </w:tcBorders>
          </w:tcPr>
          <w:p>
            <w:pPr>
              <w:spacing w:before="40" w:after="40"/>
            </w:pPr>
            <w:r>
              <w:t>Trial design (p. 6) — protocol version 1.0, 17 May 2026</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Roles and responsibilities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Names, affiliations, and roles of protocol contributors</w:t>
            </w:r>
          </w:p>
        </w:tc>
        <w:tc>
          <w:tcPr>
            <w:tcW w:type="dxa" w:w="3118"/>
            <w:tcBorders>
              <w:top w:val="single" w:sz="4" w:color="C8D3DE"/>
              <w:left w:val="single" w:sz="4" w:color="C8D3DE"/>
              <w:bottom w:val="single" w:sz="4" w:color="C8D3DE"/>
              <w:right w:val="single" w:sz="4" w:color="C8D3DE"/>
            </w:tcBorders>
          </w:tcPr>
          <w:p>
            <w:pPr>
              <w:spacing w:before="40" w:after="40"/>
            </w:pPr>
            <w:r>
              <w:t>Title page (p. 1); Contributors (p. 22)</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Name and contact information for the trial sponsor</w:t>
            </w:r>
          </w:p>
        </w:tc>
        <w:tc>
          <w:tcPr>
            <w:tcW w:type="dxa" w:w="3118"/>
            <w:tcBorders>
              <w:top w:val="single" w:sz="4" w:color="C8D3DE"/>
              <w:left w:val="single" w:sz="4" w:color="C8D3DE"/>
              <w:bottom w:val="single" w:sz="4" w:color="C8D3DE"/>
              <w:right w:val="single" w:sz="4" w:color="C8D3DE"/>
            </w:tcBorders>
          </w:tcPr>
          <w:p>
            <w:pPr>
              <w:spacing w:before="40" w:after="40"/>
            </w:pPr>
            <w:r>
              <w:t>Funding (p. 22) — sponsor name and address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Role of trial sponsor and funders in design, conduct, analysis, and reporting of trial; including any authority over these activities</w:t>
            </w:r>
          </w:p>
        </w:tc>
        <w:tc>
          <w:tcPr>
            <w:tcW w:type="dxa" w:w="3118"/>
            <w:tcBorders>
              <w:top w:val="single" w:sz="4" w:color="C8D3DE"/>
              <w:left w:val="single" w:sz="4" w:color="C8D3DE"/>
              <w:bottom w:val="single" w:sz="4" w:color="C8D3DE"/>
              <w:right w:val="single" w:sz="4" w:color="C8D3DE"/>
            </w:tcBorders>
          </w:tcPr>
          <w:p>
            <w:pPr>
              <w:spacing w:before="40" w:after="40"/>
            </w:pPr>
            <w:r>
              <w:t>Funding (p. 22)</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3d</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Composition, roles, and responsibilities of the coordinating site, steering committee, endpoint adjudication committee, data management team, and other individuals or groups overseeing the trial, if applicable</w:t>
            </w:r>
          </w:p>
        </w:tc>
        <w:tc>
          <w:tcPr>
            <w:tcW w:type="dxa" w:w="3118"/>
            <w:tcBorders>
              <w:top w:val="single" w:sz="4" w:color="C8D3DE"/>
              <w:left w:val="single" w:sz="4" w:color="C8D3DE"/>
              <w:bottom w:val="single" w:sz="4" w:color="C8D3DE"/>
              <w:right w:val="single" w:sz="4" w:color="C8D3DE"/>
            </w:tcBorders>
          </w:tcPr>
          <w:p>
            <w:pPr>
              <w:spacing w:before="40" w:after="40"/>
            </w:pPr>
            <w:r>
              <w:t>Monitoring, harms and safety (p. 20) — steering group; safety review</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Open science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registration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4</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Name of trial registry, identifying number (with URL), and date of registration. If not yet registered, name of intended registry</w:t>
            </w:r>
          </w:p>
        </w:tc>
        <w:tc>
          <w:tcPr>
            <w:tcW w:type="dxa" w:w="3118"/>
            <w:tcBorders>
              <w:top w:val="single" w:sz="4" w:color="C8D3DE"/>
              <w:left w:val="single" w:sz="4" w:color="C8D3DE"/>
              <w:bottom w:val="single" w:sz="4" w:color="C8D3DE"/>
              <w:right w:val="single" w:sz="4" w:color="C8D3DE"/>
            </w:tcBorders>
          </w:tcPr>
          <w:p>
            <w:pPr>
              <w:spacing w:before="40" w:after="40"/>
            </w:pPr>
            <w:r>
              <w:t>Abstract (p. 2) — Trial registration number (to be completed)</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Protocol and statistical analysis plan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5</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Where the trial protocol and statistical analysis plan can be accessed</w:t>
            </w:r>
          </w:p>
        </w:tc>
        <w:tc>
          <w:tcPr>
            <w:tcW w:type="dxa" w:w="3118"/>
            <w:tcBorders>
              <w:top w:val="single" w:sz="4" w:color="C8D3DE"/>
              <w:left w:val="single" w:sz="4" w:color="C8D3DE"/>
              <w:bottom w:val="single" w:sz="4" w:color="C8D3DE"/>
              <w:right w:val="single" w:sz="4" w:color="C8D3DE"/>
            </w:tcBorders>
          </w:tcPr>
          <w:p>
            <w:pPr>
              <w:spacing w:before="40" w:after="40"/>
            </w:pPr>
            <w:r>
              <w:t>Ethics and dissemination (p. 21) — statistical analysis plan deposited before database lock</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sharing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6</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Where and how the individual de-identified participant data (including data dictionary), statistical code, and any other materials will be accessible</w:t>
            </w:r>
          </w:p>
        </w:tc>
        <w:tc>
          <w:tcPr>
            <w:tcW w:type="dxa" w:w="3118"/>
            <w:tcBorders>
              <w:top w:val="single" w:sz="4" w:color="C8D3DE"/>
              <w:left w:val="single" w:sz="4" w:color="C8D3DE"/>
              <w:bottom w:val="single" w:sz="4" w:color="C8D3DE"/>
              <w:right w:val="single" w:sz="4" w:color="C8D3DE"/>
            </w:tcBorders>
          </w:tcPr>
          <w:p>
            <w:pPr>
              <w:spacing w:before="40" w:after="40"/>
            </w:pPr>
            <w:r>
              <w:t>Data availability statement (p. 23)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Funding and conflicts of interest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7a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Sources of funding and other support (eg, supply of drugs)</w:t>
            </w:r>
          </w:p>
        </w:tc>
        <w:tc>
          <w:tcPr>
            <w:tcW w:type="dxa" w:w="3118"/>
            <w:tcBorders>
              <w:top w:val="single" w:sz="4" w:color="C8D3DE"/>
              <w:left w:val="single" w:sz="4" w:color="C8D3DE"/>
              <w:bottom w:val="single" w:sz="4" w:color="C8D3DE"/>
              <w:right w:val="single" w:sz="4" w:color="C8D3DE"/>
            </w:tcBorders>
          </w:tcPr>
          <w:p>
            <w:pPr>
              <w:spacing w:before="40" w:after="40"/>
            </w:pPr>
            <w:r>
              <w:t>Funding (p. 22)</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7b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Financial and other conflicts of interest for principal investigators and steering committee members</w:t>
            </w:r>
          </w:p>
        </w:tc>
        <w:tc>
          <w:tcPr>
            <w:tcW w:type="dxa" w:w="3118"/>
            <w:tcBorders>
              <w:top w:val="single" w:sz="4" w:color="C8D3DE"/>
              <w:left w:val="single" w:sz="4" w:color="C8D3DE"/>
              <w:bottom w:val="single" w:sz="4" w:color="C8D3DE"/>
              <w:right w:val="single" w:sz="4" w:color="C8D3DE"/>
            </w:tcBorders>
          </w:tcPr>
          <w:p>
            <w:pPr>
              <w:spacing w:before="40" w:after="40"/>
            </w:pPr>
            <w:r>
              <w:t>Competing interests (p. 22)</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Dissemination policy</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8</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to communicate trial results to participants, healthcare professionals, the public, and other relevant groups (eg, reporting in trial registry, plain language summary, publication)</w:t>
            </w:r>
          </w:p>
        </w:tc>
        <w:tc>
          <w:tcPr>
            <w:tcW w:type="dxa" w:w="3118"/>
            <w:tcBorders>
              <w:top w:val="single" w:sz="4" w:color="C8D3DE"/>
              <w:left w:val="single" w:sz="4" w:color="C8D3DE"/>
              <w:bottom w:val="single" w:sz="4" w:color="C8D3DE"/>
              <w:right w:val="single" w:sz="4" w:color="C8D3DE"/>
            </w:tcBorders>
          </w:tcPr>
          <w:p>
            <w:pPr>
              <w:spacing w:before="40" w:after="40"/>
            </w:pPr>
            <w:r>
              <w:t>Ethics and dissemination (p. 21)</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Introduction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Background and rationale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9a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Scientific background and rationale, including summary of relevant studies (published and unpublished) examining benefits and harms for each intervention</w:t>
            </w:r>
          </w:p>
        </w:tc>
        <w:tc>
          <w:tcPr>
            <w:tcW w:type="dxa" w:w="3118"/>
            <w:tcBorders>
              <w:top w:val="single" w:sz="4" w:color="C8D3DE"/>
              <w:left w:val="single" w:sz="4" w:color="C8D3DE"/>
              <w:bottom w:val="single" w:sz="4" w:color="C8D3DE"/>
              <w:right w:val="single" w:sz="4" w:color="C8D3DE"/>
            </w:tcBorders>
          </w:tcPr>
          <w:p>
            <w:pPr>
              <w:spacing w:before="40" w:after="40"/>
            </w:pPr>
            <w:r>
              <w:t>Introduction (p. 4)</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9b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Explanation for choice of comparator</w:t>
            </w:r>
          </w:p>
        </w:tc>
        <w:tc>
          <w:tcPr>
            <w:tcW w:type="dxa" w:w="3118"/>
            <w:tcBorders>
              <w:top w:val="single" w:sz="4" w:color="C8D3DE"/>
              <w:left w:val="single" w:sz="4" w:color="C8D3DE"/>
              <w:bottom w:val="single" w:sz="4" w:color="C8D3DE"/>
              <w:right w:val="single" w:sz="4" w:color="C8D3DE"/>
            </w:tcBorders>
          </w:tcPr>
          <w:p>
            <w:pPr>
              <w:spacing w:before="40" w:after="40"/>
            </w:pPr>
            <w:r>
              <w:t>Usual care (p. 9); Trial design (p. 6)</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Objectives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10</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Specific objectives related to benefits and harms</w:t>
            </w:r>
          </w:p>
        </w:tc>
        <w:tc>
          <w:tcPr>
            <w:tcW w:type="dxa" w:w="3118"/>
            <w:tcBorders>
              <w:top w:val="single" w:sz="4" w:color="C8D3DE"/>
              <w:left w:val="single" w:sz="4" w:color="C8D3DE"/>
              <w:bottom w:val="single" w:sz="4" w:color="C8D3DE"/>
              <w:right w:val="single" w:sz="4" w:color="C8D3DE"/>
            </w:tcBorders>
          </w:tcPr>
          <w:p>
            <w:pPr>
              <w:spacing w:before="40" w:after="40"/>
            </w:pPr>
            <w:r>
              <w:t>Introduction (p. 4) — final paragraph (objectives and hypotheses)</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Patient and public involvement, trial design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Patient and public involvement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11</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Details of, or plans for, patient or public involvement in the design, conduct, and reporting of the trial</w:t>
            </w:r>
          </w:p>
        </w:tc>
        <w:tc>
          <w:tcPr>
            <w:tcW w:type="dxa" w:w="3118"/>
            <w:tcBorders>
              <w:top w:val="single" w:sz="4" w:color="C8D3DE"/>
              <w:left w:val="single" w:sz="4" w:color="C8D3DE"/>
              <w:bottom w:val="single" w:sz="4" w:color="C8D3DE"/>
              <w:right w:val="single" w:sz="4" w:color="C8D3DE"/>
            </w:tcBorders>
          </w:tcPr>
          <w:p>
            <w:pPr>
              <w:spacing w:before="40" w:after="40"/>
            </w:pPr>
            <w:r>
              <w:t>Patient and public involvement (p. 21)</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design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12</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Description of trial design including type of trial (eg, parallel group, crossover), allocation ratio, and framework (eg, superiority, equivalence, non-inferiority, exploratory)</w:t>
            </w:r>
          </w:p>
        </w:tc>
        <w:tc>
          <w:tcPr>
            <w:tcW w:type="dxa" w:w="3118"/>
            <w:tcBorders>
              <w:top w:val="single" w:sz="4" w:color="C8D3DE"/>
              <w:left w:val="single" w:sz="4" w:color="C8D3DE"/>
              <w:bottom w:val="single" w:sz="4" w:color="C8D3DE"/>
              <w:right w:val="single" w:sz="4" w:color="C8D3DE"/>
            </w:tcBorders>
          </w:tcPr>
          <w:p>
            <w:pPr>
              <w:spacing w:before="40" w:after="40"/>
            </w:pPr>
            <w:r>
              <w:t>Trial design (p. 6); figure 1</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Participants, interventions, and outcomes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setting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13</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Settings (eg, community, hospital) and locations (eg, countries, sites) where the trial will be conducted</w:t>
            </w:r>
          </w:p>
        </w:tc>
        <w:tc>
          <w:tcPr>
            <w:tcW w:type="dxa" w:w="3118"/>
            <w:tcBorders>
              <w:top w:val="single" w:sz="4" w:color="C8D3DE"/>
              <w:left w:val="single" w:sz="4" w:color="C8D3DE"/>
              <w:bottom w:val="single" w:sz="4" w:color="C8D3DE"/>
              <w:right w:val="single" w:sz="4" w:color="C8D3DE"/>
            </w:tcBorders>
          </w:tcPr>
          <w:p>
            <w:pPr>
              <w:spacing w:before="40" w:after="40"/>
            </w:pPr>
            <w:r>
              <w:t>Setting (p. 8); online supplemental file 4</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Eligibility criteria</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14a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Eligibility criteria for participants</w:t>
            </w:r>
          </w:p>
        </w:tc>
        <w:tc>
          <w:tcPr>
            <w:tcW w:type="dxa" w:w="3118"/>
            <w:tcBorders>
              <w:top w:val="single" w:sz="4" w:color="C8D3DE"/>
              <w:left w:val="single" w:sz="4" w:color="C8D3DE"/>
              <w:bottom w:val="single" w:sz="4" w:color="C8D3DE"/>
              <w:right w:val="single" w:sz="4" w:color="C8D3DE"/>
            </w:tcBorders>
          </w:tcPr>
          <w:p>
            <w:pPr>
              <w:spacing w:before="40" w:after="40"/>
            </w:pPr>
            <w:r>
              <w:t>Participants (p. 8)</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14b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If applicable, eligibility criteria for sites and for individuals who will deliver the interventions (eg, surgeons, physiotherapists)</w:t>
            </w:r>
          </w:p>
        </w:tc>
        <w:tc>
          <w:tcPr>
            <w:tcW w:type="dxa" w:w="3118"/>
            <w:tcBorders>
              <w:top w:val="single" w:sz="4" w:color="C8D3DE"/>
              <w:left w:val="single" w:sz="4" w:color="C8D3DE"/>
              <w:bottom w:val="single" w:sz="4" w:color="C8D3DE"/>
              <w:right w:val="single" w:sz="4" w:color="C8D3DE"/>
            </w:tcBorders>
          </w:tcPr>
          <w:p>
            <w:pPr>
              <w:spacing w:before="40" w:after="40"/>
            </w:pPr>
            <w:r>
              <w:t>Setting (p. 8); Training, tailoring and fidelity (p. 12)</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Intervention and comparator</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Intervention and comparator with sufficient details to allow replication including how, when, and by whom they will be administered. If relevant, where additional materials describing the intervention and comparator (eg, intervention manual) can be accessed</w:t>
            </w:r>
          </w:p>
        </w:tc>
        <w:tc>
          <w:tcPr>
            <w:tcW w:type="dxa" w:w="3118"/>
            <w:tcBorders>
              <w:top w:val="single" w:sz="4" w:color="C8D3DE"/>
              <w:left w:val="single" w:sz="4" w:color="C8D3DE"/>
              <w:bottom w:val="single" w:sz="4" w:color="C8D3DE"/>
              <w:right w:val="single" w:sz="4" w:color="C8D3DE"/>
            </w:tcBorders>
          </w:tcPr>
          <w:p>
            <w:pPr>
              <w:spacing w:before="40" w:after="40"/>
            </w:pPr>
            <w:r>
              <w:t>Usual care (p. 9); PARADISE (p. 9); Measurement of wear and its use in counselling (p. 10); Structured education and behavioural support (SEBIA) (p. 11); table 2; figures 4 and 5</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Criteria for discontinuing or modifying allocated intervention/comparator for a trial participant (eg, drug dose change in response to harms, participant request, or improving/worsening disease)</w:t>
            </w:r>
          </w:p>
        </w:tc>
        <w:tc>
          <w:tcPr>
            <w:tcW w:type="dxa" w:w="3118"/>
            <w:tcBorders>
              <w:top w:val="single" w:sz="4" w:color="C8D3DE"/>
              <w:left w:val="single" w:sz="4" w:color="C8D3DE"/>
              <w:bottom w:val="single" w:sz="4" w:color="C8D3DE"/>
              <w:right w:val="single" w:sz="4" w:color="C8D3DE"/>
            </w:tcBorders>
          </w:tcPr>
          <w:p>
            <w:pPr>
              <w:spacing w:before="40" w:after="40"/>
            </w:pPr>
            <w:r>
              <w:t>Training, tailoring and fidelity (p. 12); Concomitant care and discontinuation (p. 13)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Strategies to improve adherence to intervention/comparator protocols, if applicable, and any procedures for monitoring adherence (eg, drug tablet return, sessions attended)</w:t>
            </w:r>
          </w:p>
        </w:tc>
        <w:tc>
          <w:tcPr>
            <w:tcW w:type="dxa" w:w="3118"/>
            <w:tcBorders>
              <w:top w:val="single" w:sz="4" w:color="C8D3DE"/>
              <w:left w:val="single" w:sz="4" w:color="C8D3DE"/>
              <w:bottom w:val="single" w:sz="4" w:color="C8D3DE"/>
              <w:right w:val="single" w:sz="4" w:color="C8D3DE"/>
            </w:tcBorders>
          </w:tcPr>
          <w:p>
            <w:pPr>
              <w:spacing w:before="40" w:after="40"/>
            </w:pPr>
            <w:r>
              <w:t>Training, tailoring and fidelity (p. 12); Process evaluation (p. 20)</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15d</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Concomitant care that is permitted or prohibited during the trial</w:t>
            </w:r>
          </w:p>
        </w:tc>
        <w:tc>
          <w:tcPr>
            <w:tcW w:type="dxa" w:w="3118"/>
            <w:tcBorders>
              <w:top w:val="single" w:sz="4" w:color="C8D3DE"/>
              <w:left w:val="single" w:sz="4" w:color="C8D3DE"/>
              <w:bottom w:val="single" w:sz="4" w:color="C8D3DE"/>
              <w:right w:val="single" w:sz="4" w:color="C8D3DE"/>
            </w:tcBorders>
          </w:tcPr>
          <w:p>
            <w:pPr>
              <w:spacing w:before="40" w:after="40"/>
            </w:pPr>
            <w:r>
              <w:t>Concomitant care and discontinuation (p. 13)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Outcomes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16</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Primary and secondary outcomes, including the specific measurement variable (eg, systolic blood pressure), analysis metric (eg, change from baseline, final value, time to event), method of aggregation (eg, median, proportion), and time point for each outcome</w:t>
            </w:r>
          </w:p>
        </w:tc>
        <w:tc>
          <w:tcPr>
            <w:tcW w:type="dxa" w:w="3118"/>
            <w:tcBorders>
              <w:top w:val="single" w:sz="4" w:color="C8D3DE"/>
              <w:left w:val="single" w:sz="4" w:color="C8D3DE"/>
              <w:bottom w:val="single" w:sz="4" w:color="C8D3DE"/>
              <w:right w:val="single" w:sz="4" w:color="C8D3DE"/>
            </w:tcBorders>
          </w:tcPr>
          <w:p>
            <w:pPr>
              <w:spacing w:before="40" w:after="40"/>
            </w:pPr>
            <w:r>
              <w:t>Primary outcome (p. 13); Mediator (p. 13); Secondary outcomes (p. 14); Exploratory outcome (p. 14); Process outcomes (p. 14); table 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Harms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17</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harms are defined and will be assessed (eg, systematically, non-systematically)</w:t>
            </w:r>
          </w:p>
        </w:tc>
        <w:tc>
          <w:tcPr>
            <w:tcW w:type="dxa" w:w="3118"/>
            <w:tcBorders>
              <w:top w:val="single" w:sz="4" w:color="C8D3DE"/>
              <w:left w:val="single" w:sz="4" w:color="C8D3DE"/>
              <w:bottom w:val="single" w:sz="4" w:color="C8D3DE"/>
              <w:right w:val="single" w:sz="4" w:color="C8D3DE"/>
            </w:tcBorders>
          </w:tcPr>
          <w:p>
            <w:pPr>
              <w:spacing w:before="40" w:after="40"/>
            </w:pPr>
            <w:r>
              <w:t>Monitoring, harms and safety (p. 20)</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Participant timeline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18</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Time schedule of enrolment, interventions (including any run-ins and washouts), assessments, and visits for participants. A schematic diagram is highly recommended (see fig 1 )</w:t>
            </w:r>
          </w:p>
        </w:tc>
        <w:tc>
          <w:tcPr>
            <w:tcW w:type="dxa" w:w="3118"/>
            <w:tcBorders>
              <w:top w:val="single" w:sz="4" w:color="C8D3DE"/>
              <w:left w:val="single" w:sz="4" w:color="C8D3DE"/>
              <w:bottom w:val="single" w:sz="4" w:color="C8D3DE"/>
              <w:right w:val="single" w:sz="4" w:color="C8D3DE"/>
            </w:tcBorders>
          </w:tcPr>
          <w:p>
            <w:pPr>
              <w:spacing w:before="40" w:after="40"/>
            </w:pPr>
            <w:r>
              <w:t>Participant timeline (p. 14); table 1; figure 4</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Sample size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19</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sample size was determined, including all assumptions supporting the sample size calculation</w:t>
            </w:r>
          </w:p>
        </w:tc>
        <w:tc>
          <w:tcPr>
            <w:tcW w:type="dxa" w:w="3118"/>
            <w:tcBorders>
              <w:top w:val="single" w:sz="4" w:color="C8D3DE"/>
              <w:left w:val="single" w:sz="4" w:color="C8D3DE"/>
              <w:bottom w:val="single" w:sz="4" w:color="C8D3DE"/>
              <w:right w:val="single" w:sz="4" w:color="C8D3DE"/>
            </w:tcBorders>
          </w:tcPr>
          <w:p>
            <w:pPr>
              <w:spacing w:before="40" w:after="40"/>
            </w:pPr>
            <w:r>
              <w:t>Sample size (p. 15); online supplemental file 5</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Recruitment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20</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Strategies for achieving adequate participant enrolment to reach target sample size</w:t>
            </w:r>
          </w:p>
        </w:tc>
        <w:tc>
          <w:tcPr>
            <w:tcW w:type="dxa" w:w="3118"/>
            <w:tcBorders>
              <w:top w:val="single" w:sz="4" w:color="C8D3DE"/>
              <w:left w:val="single" w:sz="4" w:color="C8D3DE"/>
              <w:bottom w:val="single" w:sz="4" w:color="C8D3DE"/>
              <w:right w:val="single" w:sz="4" w:color="C8D3DE"/>
            </w:tcBorders>
          </w:tcPr>
          <w:p>
            <w:pPr>
              <w:spacing w:before="40" w:after="40"/>
            </w:pPr>
            <w:r>
              <w:t>Participants (p. 8) — final paragraph (recruitment)</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Assignment of interventions</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Randomisation: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Sequence generation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21a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Who will generate the random allocation sequence and the method used</w:t>
            </w:r>
          </w:p>
        </w:tc>
        <w:tc>
          <w:tcPr>
            <w:tcW w:type="dxa" w:w="3118"/>
            <w:tcBorders>
              <w:top w:val="single" w:sz="4" w:color="C8D3DE"/>
              <w:left w:val="single" w:sz="4" w:color="C8D3DE"/>
              <w:bottom w:val="single" w:sz="4" w:color="C8D3DE"/>
              <w:right w:val="single" w:sz="4" w:color="C8D3DE"/>
            </w:tcBorders>
          </w:tcPr>
          <w:p>
            <w:pPr>
              <w:spacing w:before="40" w:after="40"/>
            </w:pPr>
            <w:r>
              <w:t>Randomisation and allocation concealment (p. 15)</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21b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Type of randomisation (simple or restricted) and details of any factors for stratification. To reduce predictability of a random sequence, other details of any planned restriction (eg, blocking) should be provided in a separate document that is unavailable to those who enrol participants or assign interventions</w:t>
            </w:r>
          </w:p>
        </w:tc>
        <w:tc>
          <w:tcPr>
            <w:tcW w:type="dxa" w:w="3118"/>
            <w:tcBorders>
              <w:top w:val="single" w:sz="4" w:color="C8D3DE"/>
              <w:left w:val="single" w:sz="4" w:color="C8D3DE"/>
              <w:bottom w:val="single" w:sz="4" w:color="C8D3DE"/>
              <w:right w:val="single" w:sz="4" w:color="C8D3DE"/>
            </w:tcBorders>
          </w:tcPr>
          <w:p>
            <w:pPr>
              <w:spacing w:before="40" w:after="40"/>
            </w:pPr>
            <w:r>
              <w:t>Randomisation and allocation concealment (p. 15) — stratified by clinic, no blocks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Allocation concealment mechanism</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22</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Mechanism used to implement the random allocation sequence (eg, central computer/telephone; sequentially numbered, opaque, sealed containers), describing any steps to conceal the sequence until interventions are assigned</w:t>
            </w:r>
          </w:p>
        </w:tc>
        <w:tc>
          <w:tcPr>
            <w:tcW w:type="dxa" w:w="3118"/>
            <w:tcBorders>
              <w:top w:val="single" w:sz="4" w:color="C8D3DE"/>
              <w:left w:val="single" w:sz="4" w:color="C8D3DE"/>
              <w:bottom w:val="single" w:sz="4" w:color="C8D3DE"/>
              <w:right w:val="single" w:sz="4" w:color="C8D3DE"/>
            </w:tcBorders>
          </w:tcPr>
          <w:p>
            <w:pPr>
              <w:spacing w:before="40" w:after="40"/>
            </w:pPr>
            <w:r>
              <w:t>Randomisation and allocation concealment (p. 15) — sequentially numbered opaque sealed envelopes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Implementation</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23</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Whether the personnel who will enrol and those who will assign participants to the interventions will have access to the random allocation sequence</w:t>
            </w:r>
          </w:p>
        </w:tc>
        <w:tc>
          <w:tcPr>
            <w:tcW w:type="dxa" w:w="3118"/>
            <w:tcBorders>
              <w:top w:val="single" w:sz="4" w:color="C8D3DE"/>
              <w:left w:val="single" w:sz="4" w:color="C8D3DE"/>
              <w:bottom w:val="single" w:sz="4" w:color="C8D3DE"/>
              <w:right w:val="single" w:sz="4" w:color="C8D3DE"/>
            </w:tcBorders>
          </w:tcPr>
          <w:p>
            <w:pPr>
              <w:spacing w:before="40" w:after="40"/>
            </w:pPr>
            <w:r>
              <w:t>Randomisation and allocation concealment (p. 15)</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Blinding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24a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Who will be blinded after assignment to interventions (eg, participants, care providers, outcome assessors, data analysts)</w:t>
            </w:r>
          </w:p>
        </w:tc>
        <w:tc>
          <w:tcPr>
            <w:tcW w:type="dxa" w:w="3118"/>
            <w:tcBorders>
              <w:top w:val="single" w:sz="4" w:color="C8D3DE"/>
              <w:left w:val="single" w:sz="4" w:color="C8D3DE"/>
              <w:bottom w:val="single" w:sz="4" w:color="C8D3DE"/>
              <w:right w:val="single" w:sz="4" w:color="C8D3DE"/>
            </w:tcBorders>
          </w:tcPr>
          <w:p>
            <w:pPr>
              <w:spacing w:before="40" w:after="40"/>
            </w:pPr>
            <w:r>
              <w:t>Blinding and other sources of bias (p. 16)</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24b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If blinded, how blinding will be achieved and description of the similarity of interventions</w:t>
            </w:r>
          </w:p>
        </w:tc>
        <w:tc>
          <w:tcPr>
            <w:tcW w:type="dxa" w:w="3118"/>
            <w:tcBorders>
              <w:top w:val="single" w:sz="4" w:color="C8D3DE"/>
              <w:left w:val="single" w:sz="4" w:color="C8D3DE"/>
              <w:bottom w:val="single" w:sz="4" w:color="C8D3DE"/>
              <w:right w:val="single" w:sz="4" w:color="C8D3DE"/>
            </w:tcBorders>
          </w:tcPr>
          <w:p>
            <w:pPr>
              <w:spacing w:before="40" w:after="40"/>
            </w:pPr>
            <w:r>
              <w:t>Blinding and other sources of bias (p. 16) — pressure values hidden in usual care (50 kPa display threshold, values off)</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24c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If blinded, circumstances under which unblinding is permissible, and procedure for revealing a participant’s allocated intervention during the trial</w:t>
            </w:r>
          </w:p>
        </w:tc>
        <w:tc>
          <w:tcPr>
            <w:tcW w:type="dxa" w:w="3118"/>
            <w:tcBorders>
              <w:top w:val="single" w:sz="4" w:color="C8D3DE"/>
              <w:left w:val="single" w:sz="4" w:color="C8D3DE"/>
              <w:bottom w:val="single" w:sz="4" w:color="C8D3DE"/>
              <w:right w:val="single" w:sz="4" w:color="C8D3DE"/>
            </w:tcBorders>
          </w:tcPr>
          <w:p>
            <w:pPr>
              <w:spacing w:before="40" w:after="40"/>
            </w:pPr>
            <w:r>
              <w:t>Not applicable: open-label trial; clinical findings are always reported to the treating clinician, Blinding and other sources of bias (p. 16)</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Data collection, management, and analysis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collection methods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25a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assessment and collection of trial data, including any related processes to promote data quality (eg, duplicate measurements, training of assessors) and a description of trial instruments (eg, questionnaires, laboratory tests) along with their reliability and validity, if known. Reference to where data collection forms can be accessed, if not in the protocol</w:t>
            </w:r>
          </w:p>
        </w:tc>
        <w:tc>
          <w:tcPr>
            <w:tcW w:type="dxa" w:w="3118"/>
            <w:tcBorders>
              <w:top w:val="single" w:sz="4" w:color="C8D3DE"/>
              <w:left w:val="single" w:sz="4" w:color="C8D3DE"/>
              <w:bottom w:val="single" w:sz="4" w:color="C8D3DE"/>
              <w:right w:val="single" w:sz="4" w:color="C8D3DE"/>
            </w:tcBorders>
          </w:tcPr>
          <w:p>
            <w:pPr>
              <w:spacing w:before="40" w:after="40"/>
            </w:pPr>
            <w:r>
              <w:t>Outcomes (p. 13); Data collection and management (p. 17); table 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25b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to promote participant retention and complete follow-up, including list of any outcome data to be collected for participants who discontinue or deviate from intervention protocols</w:t>
            </w:r>
          </w:p>
        </w:tc>
        <w:tc>
          <w:tcPr>
            <w:tcW w:type="dxa" w:w="3118"/>
            <w:tcBorders>
              <w:top w:val="single" w:sz="4" w:color="C8D3DE"/>
              <w:left w:val="single" w:sz="4" w:color="C8D3DE"/>
              <w:bottom w:val="single" w:sz="4" w:color="C8D3DE"/>
              <w:right w:val="single" w:sz="4" w:color="C8D3DE"/>
            </w:tcBorders>
          </w:tcPr>
          <w:p>
            <w:pPr>
              <w:spacing w:before="40" w:after="40"/>
            </w:pPr>
            <w:r>
              <w:t>Participant timeline (p. 14) — visits aligned with routine review, reminders, travel costs, continued follow-up after stopping the intervention</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management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26</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data entry, coding, security, and storage, including any related processes to promote data quality (eg, double data entry; range checks for data values). Reference to where details of data management procedures can be accessed, if not in the protocol</w:t>
            </w:r>
          </w:p>
        </w:tc>
        <w:tc>
          <w:tcPr>
            <w:tcW w:type="dxa" w:w="3118"/>
            <w:tcBorders>
              <w:top w:val="single" w:sz="4" w:color="C8D3DE"/>
              <w:left w:val="single" w:sz="4" w:color="C8D3DE"/>
              <w:bottom w:val="single" w:sz="4" w:color="C8D3DE"/>
              <w:right w:val="single" w:sz="4" w:color="C8D3DE"/>
            </w:tcBorders>
          </w:tcPr>
          <w:p>
            <w:pPr>
              <w:spacing w:before="40" w:after="40"/>
            </w:pPr>
            <w:r>
              <w:t>Data collection and management (p. 17)</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Statistical methods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Statistical methods used to compare groups for primary and secondary outcomes, including harms</w:t>
            </w:r>
          </w:p>
        </w:tc>
        <w:tc>
          <w:tcPr>
            <w:tcW w:type="dxa" w:w="3118"/>
            <w:tcBorders>
              <w:top w:val="single" w:sz="4" w:color="C8D3DE"/>
              <w:left w:val="single" w:sz="4" w:color="C8D3DE"/>
              <w:bottom w:val="single" w:sz="4" w:color="C8D3DE"/>
              <w:right w:val="single" w:sz="4" w:color="C8D3DE"/>
            </w:tcBorders>
          </w:tcPr>
          <w:p>
            <w:pPr>
              <w:spacing w:before="40" w:after="40"/>
            </w:pPr>
            <w:r>
              <w:t>Primary analysis (p. 17); Adherence and mediation (p. 18); Secondary, subgroup and sensitivity analyses (p. 18)</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Definition of who will be included in each analysis (eg, all randomised participants), and in which group</w:t>
            </w:r>
          </w:p>
        </w:tc>
        <w:tc>
          <w:tcPr>
            <w:tcW w:type="dxa" w:w="3118"/>
            <w:tcBorders>
              <w:top w:val="single" w:sz="4" w:color="C8D3DE"/>
              <w:left w:val="single" w:sz="4" w:color="C8D3DE"/>
              <w:bottom w:val="single" w:sz="4" w:color="C8D3DE"/>
              <w:right w:val="single" w:sz="4" w:color="C8D3DE"/>
            </w:tcBorders>
          </w:tcPr>
          <w:p>
            <w:pPr>
              <w:spacing w:before="40" w:after="40"/>
            </w:pPr>
            <w:r>
              <w:t>Statistical analysis (p. 17)</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27c</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missing data will be handled in the analysis</w:t>
            </w:r>
          </w:p>
        </w:tc>
        <w:tc>
          <w:tcPr>
            <w:tcW w:type="dxa" w:w="3118"/>
            <w:tcBorders>
              <w:top w:val="single" w:sz="4" w:color="C8D3DE"/>
              <w:left w:val="single" w:sz="4" w:color="C8D3DE"/>
              <w:bottom w:val="single" w:sz="4" w:color="C8D3DE"/>
              <w:right w:val="single" w:sz="4" w:color="C8D3DE"/>
            </w:tcBorders>
          </w:tcPr>
          <w:p>
            <w:pPr>
              <w:spacing w:before="40" w:after="40"/>
            </w:pPr>
            <w:r>
              <w:t>Missing data (p. 19)</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27d</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Methods for any additional analyses (eg, subgroup and sensitivity analyses)</w:t>
            </w:r>
          </w:p>
        </w:tc>
        <w:tc>
          <w:tcPr>
            <w:tcW w:type="dxa" w:w="3118"/>
            <w:tcBorders>
              <w:top w:val="single" w:sz="4" w:color="C8D3DE"/>
              <w:left w:val="single" w:sz="4" w:color="C8D3DE"/>
              <w:bottom w:val="single" w:sz="4" w:color="C8D3DE"/>
              <w:right w:val="single" w:sz="4" w:color="C8D3DE"/>
            </w:tcBorders>
          </w:tcPr>
          <w:p>
            <w:pPr>
              <w:spacing w:before="40" w:after="40"/>
            </w:pPr>
            <w:r>
              <w:t>Estimands (p. 17); Secondary, subgroup and sensitivity analyses (p. 18); Exploratory analysis (p. 18); table 4</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Methods: Monitoring</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Data monitoring committee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28a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Composition of data monitoring committee (DMC); summary of its role and reporting structure; statement of whether it is independent from the sponsor and funder; conflicts of interest and reference to where further details about its charter can be found, if not in the protocol. Alternatively, an explanation of why a DMC is not needed</w:t>
            </w:r>
          </w:p>
        </w:tc>
        <w:tc>
          <w:tcPr>
            <w:tcW w:type="dxa" w:w="3118"/>
            <w:tcBorders>
              <w:top w:val="single" w:sz="4" w:color="C8D3DE"/>
              <w:left w:val="single" w:sz="4" w:color="C8D3DE"/>
              <w:bottom w:val="single" w:sz="4" w:color="C8D3DE"/>
              <w:right w:val="single" w:sz="4" w:color="C8D3DE"/>
            </w:tcBorders>
          </w:tcPr>
          <w:p>
            <w:pPr>
              <w:spacing w:before="40" w:after="40"/>
            </w:pPr>
            <w:r>
              <w:t>Monitoring, harms and safety (p. 20) — no independent data monitoring committee, with rationale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28b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Explanation of any interim analyses and stopping guidelines, including who will have access to these interim results and make the final decision to terminate the trial</w:t>
            </w:r>
          </w:p>
        </w:tc>
        <w:tc>
          <w:tcPr>
            <w:tcW w:type="dxa" w:w="3118"/>
            <w:tcBorders>
              <w:top w:val="single" w:sz="4" w:color="C8D3DE"/>
              <w:left w:val="single" w:sz="4" w:color="C8D3DE"/>
              <w:bottom w:val="single" w:sz="4" w:color="C8D3DE"/>
              <w:right w:val="single" w:sz="4" w:color="C8D3DE"/>
            </w:tcBorders>
          </w:tcPr>
          <w:p>
            <w:pPr>
              <w:spacing w:before="40" w:after="40"/>
            </w:pPr>
            <w:r>
              <w:t>Monitoring, harms and safety (p. 20) — no interim efficacy analysis; six-monthly safety review rule</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Trial monitoring</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29</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Frequency and procedures for monitoring trial conduct. If there is no monitoring, give explanation</w:t>
            </w:r>
          </w:p>
        </w:tc>
        <w:tc>
          <w:tcPr>
            <w:tcW w:type="dxa" w:w="3118"/>
            <w:tcBorders>
              <w:top w:val="single" w:sz="4" w:color="C8D3DE"/>
              <w:left w:val="single" w:sz="4" w:color="C8D3DE"/>
              <w:bottom w:val="single" w:sz="4" w:color="C8D3DE"/>
              <w:right w:val="single" w:sz="4" w:color="C8D3DE"/>
            </w:tcBorders>
          </w:tcPr>
          <w:p>
            <w:pPr>
              <w:spacing w:before="40" w:after="40"/>
            </w:pPr>
            <w:r>
              <w:t>Monitoring, harms and safety (p. 20)</w:t>
            </w:r>
          </w:p>
        </w:tc>
      </w:tr>
      <w:tr>
        <w:tc>
          <w:tcPr>
            <w:tcW w:type="dxa" w:w="10200"/>
            <w:gridSpan w:val="4"/>
            <w:shd w:val="clear" w:fill="F4F7FA"/>
            <w:tcBorders>
              <w:top w:val="single" w:sz="4" w:color="C8D3DE"/>
              <w:left w:val="single" w:sz="4" w:color="C8D3DE"/>
              <w:bottom w:val="single" w:sz="4" w:color="C8D3DE"/>
              <w:right w:val="single" w:sz="4" w:color="C8D3DE"/>
            </w:tcBorders>
          </w:tcPr>
          <w:p>
            <w:pPr>
              <w:spacing w:before="40" w:after="40"/>
            </w:pPr>
            <w:r/>
            <w:r>
              <w:rPr>
                <w:b/>
                <w:color w:val="1B3A5C"/>
                <w:sz w:val="18"/>
              </w:rPr>
              <w:t>Ethics</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Research ethics approval</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30</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seeking research ethics committee/institutional review board approval</w:t>
            </w:r>
          </w:p>
        </w:tc>
        <w:tc>
          <w:tcPr>
            <w:tcW w:type="dxa" w:w="3118"/>
            <w:tcBorders>
              <w:top w:val="single" w:sz="4" w:color="C8D3DE"/>
              <w:left w:val="single" w:sz="4" w:color="C8D3DE"/>
              <w:bottom w:val="single" w:sz="4" w:color="C8D3DE"/>
              <w:right w:val="single" w:sz="4" w:color="C8D3DE"/>
            </w:tcBorders>
          </w:tcPr>
          <w:p>
            <w:pPr>
              <w:spacing w:before="40" w:after="40"/>
            </w:pPr>
            <w:r>
              <w:t>Ethics and dissemination (p. 21); Ethics approval (p. 23)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Protocol amendments</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31</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Plans for communicating important protocol modifications to relevant parties</w:t>
            </w:r>
          </w:p>
        </w:tc>
        <w:tc>
          <w:tcPr>
            <w:tcW w:type="dxa" w:w="3118"/>
            <w:tcBorders>
              <w:top w:val="single" w:sz="4" w:color="C8D3DE"/>
              <w:left w:val="single" w:sz="4" w:color="C8D3DE"/>
              <w:bottom w:val="single" w:sz="4" w:color="C8D3DE"/>
              <w:right w:val="single" w:sz="4" w:color="C8D3DE"/>
            </w:tcBorders>
          </w:tcPr>
          <w:p>
            <w:pPr>
              <w:spacing w:before="40" w:after="40"/>
            </w:pPr>
            <w:r>
              <w:t>Ethics and dissemination (p. 21)</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Consent or assent</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32a</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Who will obtain informed consent or assent from potential trial participants or authorised proxies, and how</w:t>
            </w:r>
          </w:p>
        </w:tc>
        <w:tc>
          <w:tcPr>
            <w:tcW w:type="dxa" w:w="3118"/>
            <w:tcBorders>
              <w:top w:val="single" w:sz="4" w:color="C8D3DE"/>
              <w:left w:val="single" w:sz="4" w:color="C8D3DE"/>
              <w:bottom w:val="single" w:sz="4" w:color="C8D3DE"/>
              <w:right w:val="single" w:sz="4" w:color="C8D3DE"/>
            </w:tcBorders>
          </w:tcPr>
          <w:p>
            <w:pPr>
              <w:spacing w:before="40" w:after="40"/>
            </w:pPr>
            <w:r>
              <w:t>Ethics and dissemination (p. 21); online supplemental file 6</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32b</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Additional consent provisions for collection and use of participant data and biological specimens in ancillary studies, if applicable</w:t>
            </w:r>
          </w:p>
        </w:tc>
        <w:tc>
          <w:tcPr>
            <w:tcW w:type="dxa" w:w="3118"/>
            <w:tcBorders>
              <w:top w:val="single" w:sz="4" w:color="C8D3DE"/>
              <w:left w:val="single" w:sz="4" w:color="C8D3DE"/>
              <w:bottom w:val="single" w:sz="4" w:color="C8D3DE"/>
              <w:right w:val="single" w:sz="4" w:color="C8D3DE"/>
            </w:tcBorders>
          </w:tcPr>
          <w:p>
            <w:pPr>
              <w:spacing w:before="40" w:after="40"/>
            </w:pPr>
            <w:r>
              <w:t>Data availability statement (p. 23)</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Confidentiality</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33</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How personal information about potential and enrolled participants will be collected, shared, and maintained in order to protect confidentiality before, during, and after the trial</w:t>
            </w:r>
          </w:p>
        </w:tc>
        <w:tc>
          <w:tcPr>
            <w:tcW w:type="dxa" w:w="3118"/>
            <w:tcBorders>
              <w:top w:val="single" w:sz="4" w:color="C8D3DE"/>
              <w:left w:val="single" w:sz="4" w:color="C8D3DE"/>
              <w:bottom w:val="single" w:sz="4" w:color="C8D3DE"/>
              <w:right w:val="single" w:sz="4" w:color="C8D3DE"/>
            </w:tcBorders>
          </w:tcPr>
          <w:p>
            <w:pPr>
              <w:spacing w:before="40" w:after="40"/>
            </w:pPr>
            <w:r>
              <w:t>Data collection and management (p. 17)</w:t>
            </w:r>
          </w:p>
        </w:tc>
      </w:tr>
      <w:tr>
        <w:tc>
          <w:tcPr>
            <w:tcW w:type="dxa" w:w="2041"/>
            <w:tcBorders>
              <w:top w:val="single" w:sz="4" w:color="C8D3DE"/>
              <w:left w:val="single" w:sz="4" w:color="C8D3DE"/>
              <w:bottom w:val="single" w:sz="4" w:color="C8D3DE"/>
              <w:right w:val="single" w:sz="4" w:color="C8D3DE"/>
            </w:tcBorders>
          </w:tcPr>
          <w:p>
            <w:pPr>
              <w:spacing w:before="40" w:after="40"/>
            </w:pPr>
            <w:r/>
            <w:r>
              <w:rPr>
                <w:b w:val="0"/>
                <w:sz w:val="17"/>
              </w:rPr>
              <w:t>Ancillary and post-trial care</w:t>
            </w:r>
          </w:p>
        </w:tc>
        <w:tc>
          <w:tcPr>
            <w:tcW w:type="dxa" w:w="737"/>
            <w:tcBorders>
              <w:top w:val="single" w:sz="4" w:color="C8D3DE"/>
              <w:left w:val="single" w:sz="4" w:color="C8D3DE"/>
              <w:bottom w:val="single" w:sz="4" w:color="C8D3DE"/>
              <w:right w:val="single" w:sz="4" w:color="C8D3DE"/>
            </w:tcBorders>
          </w:tcPr>
          <w:p>
            <w:pPr>
              <w:spacing w:before="40" w:after="40"/>
            </w:pPr>
            <w:r/>
            <w:r>
              <w:rPr>
                <w:b/>
                <w:sz w:val="17"/>
              </w:rPr>
              <w:t>34</w:t>
            </w:r>
          </w:p>
        </w:tc>
        <w:tc>
          <w:tcPr>
            <w:tcW w:type="dxa" w:w="4195"/>
            <w:tcBorders>
              <w:top w:val="single" w:sz="4" w:color="C8D3DE"/>
              <w:left w:val="single" w:sz="4" w:color="C8D3DE"/>
              <w:bottom w:val="single" w:sz="4" w:color="C8D3DE"/>
              <w:right w:val="single" w:sz="4" w:color="C8D3DE"/>
            </w:tcBorders>
          </w:tcPr>
          <w:p>
            <w:pPr>
              <w:spacing w:before="40" w:after="40"/>
            </w:pPr>
            <w:r/>
            <w:r>
              <w:rPr>
                <w:b w:val="0"/>
                <w:sz w:val="17"/>
              </w:rPr>
              <w:t>Provisions, if any, for ancillary and post-trial care, and for compensation to those who suffer harm from trial participation</w:t>
            </w:r>
          </w:p>
        </w:tc>
        <w:tc>
          <w:tcPr>
            <w:tcW w:type="dxa" w:w="3118"/>
            <w:tcBorders>
              <w:top w:val="single" w:sz="4" w:color="C8D3DE"/>
              <w:left w:val="single" w:sz="4" w:color="C8D3DE"/>
              <w:bottom w:val="single" w:sz="4" w:color="C8D3DE"/>
              <w:right w:val="single" w:sz="4" w:color="C8D3DE"/>
            </w:tcBorders>
          </w:tcPr>
          <w:p>
            <w:pPr>
              <w:spacing w:before="40" w:after="40"/>
            </w:pPr>
            <w:r>
              <w:t>Ethics and dissemination (p. 21) — no-fault insurance; participants keep their orthoses</w:t>
            </w:r>
          </w:p>
        </w:tc>
      </w:tr>
    </w:tbl>
    <w:sectPr w:rsidR="00FC693F" w:rsidRPr="0006063C" w:rsidSect="00034616">
      <w:pgSz w:w="12240" w:h="15840"/>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