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Op dinsdag kan Gent nooit (hogeschool) en heeft Kortrijk vanaf de middag voetkliniek: voorstel is de online sessies op te nemen.</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wo 2 dec</w:t>
            </w:r>
          </w:p>
        </w:tc>
        <w:tc>
          <w:tcPr>
            <w:tcW w:w="4700" w:type="dxa"/>
          </w:tcPr>
          <w:p w14:paraId="1569B300" w14:textId="77777777" w:rsidR="008F6CF5" w:rsidRDefault="004D4A6A">
            <w:pPr>
              <w:spacing w:before="40" w:after="40"/>
            </w:pPr>
            <w:r>
              <w:rPr>
                <w:color w:val="1B2630"/>
                <w:sz w:val="17"/>
              </w:rPr>
              <w:t>Technologie: voormiddag Kortrijk, namiddag Brugge</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Groeninge Kortrijk · AZ Sint-Jan Brugge</w:t>
            </w:r>
          </w:p>
        </w:tc>
      </w:tr>
      <w:tr w:rsidR="0053147A" w14:paraId="3736D02F" w14:textId="77777777">
        <w:tc>
          <w:tcPr>
            <w:tcW w:w="1100" w:type="dxa"/>
          </w:tcPr>
          <w:p w14:paraId="3A2A4CB2" w14:textId="77777777" w:rsidR="008F6CF5" w:rsidRDefault="004D4A6A">
            <w:pPr>
              <w:spacing w:before="40" w:after="40"/>
            </w:pPr>
            <w:r>
              <w:rPr>
                <w:b/>
                <w:color w:val="1B2630"/>
                <w:sz w:val="17"/>
              </w:rPr>
              <w:t>do 10 dec</w:t>
            </w:r>
          </w:p>
        </w:tc>
        <w:tc>
          <w:tcPr>
            <w:tcW w:w="4700" w:type="dxa"/>
          </w:tcPr>
          <w:p w14:paraId="03CD2235" w14:textId="77777777" w:rsidR="008F6CF5" w:rsidRDefault="004D4A6A">
            <w:pPr>
              <w:spacing w:before="40" w:after="40"/>
            </w:pPr>
            <w:r>
              <w:rPr>
                <w:color w:val="1B2630"/>
                <w:sz w:val="17"/>
              </w:rPr>
              <w:t>Technologie: voormiddag Gent, namiddag Aalst</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do 7 of 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do 7 jan 17u30–21u30 of vr 8 jan 13u–17u, via doodle</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9u–11u</w:t>
            </w:r>
          </w:p>
        </w:tc>
      </w:tr>
      <w:tr w:rsidR="0053147A" w14:paraId="5BFA4FF6" w14:textId="77777777">
        <w:tc>
          <w:tcPr>
            <w:tcW w:w="1500" w:type="dxa"/>
          </w:tcPr>
          <w:p w14:paraId="33DCD9C4" w14:textId="77777777" w:rsidR="008F6CF5" w:rsidRDefault="004D4A6A">
            <w:pPr>
              <w:spacing w:before="40" w:after="40"/>
            </w:pPr>
            <w:r>
              <w:rPr>
                <w:b/>
                <w:color w:val="1B2630"/>
                <w:sz w:val="17"/>
              </w:rPr>
              <w:t>wo 13 jan</w:t>
            </w:r>
          </w:p>
        </w:tc>
        <w:tc>
          <w:tcPr>
            <w:tcW w:w="4900" w:type="dxa"/>
          </w:tcPr>
          <w:p w14:paraId="3A9AFB89" w14:textId="77777777" w:rsidR="008F6CF5" w:rsidRDefault="004D4A6A">
            <w:pPr>
              <w:spacing w:before="40" w:after="40"/>
            </w:pPr>
            <w:r>
              <w:rPr>
                <w:color w:val="1B2630"/>
                <w:sz w:val="17"/>
              </w:rPr>
              <w:t>Droogloop en debriefing, namiddag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do 14 jan</w:t>
            </w:r>
          </w:p>
        </w:tc>
        <w:tc>
          <w:tcPr>
            <w:tcW w:w="4900" w:type="dxa"/>
          </w:tcPr>
          <w:p w14:paraId="069CB7BC" w14:textId="77777777" w:rsidR="008F6CF5" w:rsidRDefault="004D4A6A">
            <w:pPr>
              <w:spacing w:before="40" w:after="40"/>
            </w:pPr>
            <w:r>
              <w:rPr>
                <w:color w:val="1B2630"/>
                <w:sz w:val="17"/>
              </w:rPr>
              <w:t>Droogloop en debriefing, voormiddag — vóór de voetkliniek van 13u</w:t>
            </w:r>
          </w:p>
        </w:tc>
        <w:tc>
          <w:tcPr>
            <w:tcW w:w="3460" w:type="dxa"/>
          </w:tcPr>
          <w:p w14:paraId="45416689" w14:textId="77777777" w:rsidR="008F6CF5" w:rsidRDefault="004D4A6A">
            <w:pPr>
              <w:spacing w:before="40" w:after="40"/>
            </w:pPr>
            <w:r>
              <w:rPr>
                <w:color w:val="1B2630"/>
                <w:sz w:val="17"/>
              </w:rPr>
              <w:t>UZ Gent</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AZORG Aalst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 Groeninge Kortrijk</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 voormiddag — vóór de voetkliniek</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Inhaalslots: do 21 jan (Gent, Aalst), vr 22 jan (Leuven; Gent in de namiddag), ma 25 jan namiddag (Kortrijk), do 28 jan (Antwerpen, Gent). Brugge heeft vóór de piloot alleen nog een dinsdagnamiddag, met de tweede podoloog. Leuven en Antwerpen vallen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do 4 of 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do 4 mrt avond of vr 5 mrt 13u–17u, via doodle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mrt–apr</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vóór de eerste maand 3-visite. Beste moment: Kortrijk wo, Brugge ma VM, Gent do VM, Leuven di, Antwerpen di of wo VM, Aalst di. Valt deels in de paasvakantie (29 mrt – 11 apr)</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Datum, uur en locatie van SEBIA 1 en 2 per groep, via een doodle met de podologen.</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11).</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heeft overdag geen gezamenlijk moment: Kortrijk en Brugge werken ma–wo in het ziekenhuis, Gent do–vr (ma–wo hogeschool). Enige opties: een avond, of vr NM met vrijaf voor Kortrijk en Brugge. Idem voor SEBIA 3 en 4.</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Online sessies op dinsdag (theorie 10 en 17 nov, toestemming 24 nov): Gent kan nooit, Kortrijk heeft vanaf de middag voetkliniek, de eerste podoloog van Brugge werkt alleen op woensdag. Opnemen.</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Datacollectie 12 jan naar 9u–11u verschoven, zodat Kortrijk kan; Gent kan nog altijd niet.</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Technologie en droogloop verschoven naar dagen waarop de podoloog er is. Is het datumvoorstel van de week van 21 september al vertrokken, dan krijgen de centra de nieuwe data.</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Brugge: buiten de voetkliniek is alleen de eerste podoloog er, op woensdagnamiddag; geen inhaalmoment voor de droogloop op een woensdag.</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Onvolledig: UZ Gent en UZ Leuven gaven geen beste moment op; de tweede podoloog van Sint-Jan, UZ Leuven, UZA en Azorg is niet bevestigd; AZ Groeninge heeft wellicht maar één podoloog. Bij UZA is "even weken" onduidelijk.</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Podologen verplaatsen zich twee keer naar een centrale locatie; in het vorige voorstel nooit.</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Piloot (1–19 feb) en droogloop van de kwartaalvisites vallen vóór SEBIA 3 en 4: de ondersteunende interventies zijn dan nog niet aangeleerd.</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11.  </w:t>
      </w:r>
      <w:r w:rsidR="004E7D4B" w:rsidRPr="000F2062">
        <w:rPr>
          <w:b w:val="0"/>
          <w:color w:val="1B2630"/>
          <w:lang w:val="nl-BE"/>
        </w:rPr>
        <w:t>Het schema van Dobbels (dia 3) volgt het SEBIA-script (eCRF 17), maar niet het manuscript en REDCap: demonstratie voetzorg op maand 6 en 12 (manuscript: 9 en 15); NAFF op visite 1 en 2, maand 6, 12 en 18 (REDCap: alleen visite 1). MOS-revised is eCRF 13, de twee VAS-schalen zijn eCRF 31.</w:t>
      </w:r>
    </w:p>
    <w:p w14:paraId="3FB12009" w14:textId="2C09C466" w:rsidR="002D465D" w:rsidRPr="0026319F" w:rsidRDefault="000F2062">
      <w:pPr>
        <w:spacing w:after="80"/>
        <w:ind w:left="280" w:hanging="280"/>
        <w:rPr>
          <w:lang w:val="nl-BE"/>
        </w:rPr>
      </w:pPr>
      <w:r>
        <w:rPr>
          <w:b/>
          <w:color w:val="FF7A00"/>
          <w:lang w:val="nl-BE"/>
        </w:rPr>
        <w:t xml:space="preserve">12.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13.  </w:t>
      </w:r>
      <w:r w:rsidR="004E7D4B" w:rsidRPr="000F2062">
        <w:rPr>
          <w:b w:val="0"/>
          <w:color w:val="1B2630"/>
          <w:lang w:val="nl-BE"/>
        </w:rPr>
        <w:t>Uitlezen van de sensor zit in de technologiesessie én in SEBIA 2: afstemmen wie wat geeft.</w:t>
      </w: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