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3A5C"/>
          <w:sz w:val="30"/>
        </w:rPr>
        <w:t>Additional file 1. Completed SPIRIT 2025 checklist</w:t>
      </w:r>
    </w:p>
    <w:p>
      <w:pPr>
        <w:spacing w:after="200"/>
      </w:pPr>
      <w:r>
        <w:rPr>
          <w:i w:val="0"/>
          <w:color w:val="1B3A5C"/>
          <w:sz w:val="19"/>
        </w:rPr>
        <w:t>Integrating offloading, adherence monitoring and behaviour change to prevent diabetic foot ulcer recurrence: protocol for the PARADISE multicentre randomised controlled trial</w:t>
      </w:r>
    </w:p>
    <w:p>
      <w:pPr>
        <w:spacing w:after="120"/>
      </w:pPr>
      <w:r>
        <w:rPr>
          <w:i w:val="0"/>
          <w:color w:val="5A6B7D"/>
          <w:sz w:val="18"/>
        </w:rPr>
        <w:t>This checklist records where each item of the SPIRIT 2025 statement is addressed in the protocol manuscript. Locations are given as section headings rather than page numbers, which are not stable before typesetting; page numbers will be inserted at proof stage. Items that the protocol does not yet address are marked and stated as such rather than assigned a nominal location.</w:t>
      </w:r>
    </w:p>
    <w:p>
      <w:pPr>
        <w:spacing w:after="240"/>
      </w:pPr>
      <w:r>
        <w:rPr>
          <w:i/>
          <w:color w:val="5A6B7D"/>
          <w:sz w:val="17"/>
        </w:rPr>
        <w:t>Reference: Chan A-W, Boutron I, Hopewell S, Moher D, Schulz KF, Collins GS, et al. SPIRIT 2025 statement: updated guideline for protocols of randomised trials. BMJ. 2025;389:e081477.</w:t>
      </w:r>
    </w:p>
    <w:tbl>
      <w:tblPr>
        <w:tblW w:type="auto" w:w="0"/>
        <w:jc w:val="center"/>
        <w:tblLook w:firstColumn="1" w:firstRow="1" w:lastColumn="0" w:lastRow="0" w:noHBand="0" w:noVBand="1" w:val="04A0"/>
      </w:tblPr>
      <w:tblGrid>
        <w:gridCol w:w="2550"/>
        <w:gridCol w:w="2550"/>
        <w:gridCol w:w="2550"/>
        <w:gridCol w:w="2550"/>
      </w:tblGrid>
      <w:tr>
        <w:tc>
          <w:tcPr>
            <w:tcW w:type="dxa" w:w="2041"/>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Section / topic</w:t>
            </w:r>
          </w:p>
        </w:tc>
        <w:tc>
          <w:tcPr>
            <w:tcW w:type="dxa" w:w="737"/>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Item</w:t>
            </w:r>
          </w:p>
        </w:tc>
        <w:tc>
          <w:tcPr>
            <w:tcW w:type="dxa" w:w="4195"/>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SPIRIT 2025 checklist item</w:t>
            </w:r>
          </w:p>
        </w:tc>
        <w:tc>
          <w:tcPr>
            <w:tcW w:type="dxa" w:w="3118"/>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Where addressed in the protocol</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Administrative information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Title and structured summary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Title stating the trial design, population, and interventions, with identification as a protocol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Title page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Structured summary of trial design and methods, including items from the World Health Organization Trial Registration Data Set</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Partly addressed. </w:t>
            </w:r>
            <w:r>
              <w:rPr>
                <w:sz w:val="17"/>
              </w:rPr>
              <w:t>Abstract — structured summary present; the WHO Trial Registration Data Set cannot be completed until the registration identifier is available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version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Version date and identifier</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Trial status — version number and date not yet entered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Roles and responsibilities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Names, affiliations, and roles of protocol contributors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Title page (names and affiliations); Declarations, Authors’ contributions — roles not yet specified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 and contact information for the trial sponsor</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Declarations, Trial sponsor — KU Leuven, Department of Rehabilitation Sciences, Spoorwegstraat 12, 8200 Bruges, Belgium (study reference S71769)</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Role of trial sponsor and funders in design, conduct, analysis, and reporting of trial; including any authority over these activities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Declarations, Funding — funder named (FWO T000226N); the role of the funder in design, conduct, analysis and reporting is not yet stated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Composition, roles, and responsibilities of the coordinating site, steering committee, endpoint adjudication committee, data management team, and other individuals or groups overseeing the trial, if applicable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Monitoring (steering group composition and remit); Randomisation, allocation concealment and blinding (independent endpoint adjudication committee); Data management (data manager); Setting and Table 1 (coordinating site and centres)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Open science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registration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4</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 of trial registry, identifying number (with URL), and date of registration. If not yet registered, name of intended registry</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Abstract, Trial registration — registry named, identifier and date of registration not yet entered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and statistical analysis plan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5</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Where the trial protocol and statistical analysis plan can be accessed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Dissemination; Appendices, Additional file 4 (statistical analysis plan, to be deposited before database lock)</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sharing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Where and how the individual de-identified participant data (including data dictionary), statistical code, and any other materials will be accessible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Declarations, Availability of data and materials — repository deposit, access procedure, embargo and the separately deposited biomechanical dataset</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Funding and conflicts of interest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7a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Sources of funding and other support (eg, supply of drugs)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Declarations, Funding; Appendices, Additional file 6</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7b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Financial and other conflicts of interest for principal investigators and steering committee members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Declarations, Competing interests — not yet completed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Dissemination policy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8</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to communicate trial results to participants, healthcare professionals, the public, and other relevant groups (eg, reporting in trial registry, plain language summary, publication)</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Dissemination — single multicentre publication, registry posting within twelve months, plain-language summary, ICMJE authorship, publication embargo for sites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Introduction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Background and rationale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9a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Scientific background and rationale, including summary of relevant studies (published and unpublished) examining benefits and harms for each intervention</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Introduction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9b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Explanation for choice of comparator</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Comparator: usual care — includes the explicit rejection of a no-treatment comparator</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Objectives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Specific objectives related to benefits and harms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Introduction, closing paragraph (Hypotheses); Outcome measures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Patient and public involvement, trial design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Patient and public involvement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11</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Details of, or plans for, patient or public involvement in the design, conduct, and reporting of the trial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Not yet addressed. </w:t>
            </w:r>
            <w:r>
              <w:rPr>
                <w:sz w:val="17"/>
              </w:rPr>
              <w:t>Patient and public involvement — prior pilot feedback described; formal involvement in question formulation, outcome selection, participant-facing materials and dissemination not yet stated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design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Description of trial design including type of trial (eg, parallel group, crossover), allocation ratio, and framework (eg, superiority, equivalence, non-inferiority, exploratory)</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Trial design — multicentre, parallel-group, open-label, 1:1, superiority framework, stratified by centre</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Participants, interventions, and outcomes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setting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Settings (eg, community, hospital) and locations (eg, countries, sites) where the trial will be conducted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Setting; Table 1</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Eligibility criteria</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14a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Eligibility criteria for participants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Participants, Eligibility criteria</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14b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applicable, eligibility criteria for sites and for individuals who will deliver the interventions (eg, surgeons, physiotherapists)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Partly addressed. </w:t>
            </w:r>
            <w:r>
              <w:rPr>
                <w:sz w:val="17"/>
              </w:rPr>
              <w:t>Setting (recognised Belgian diabetic foot clinics with predefined quality criteria); Intervention: PARADISE (SEBIA delivered by podiatrists, nurses and physicians trained in motivational interviewing). No formal eligibility criteria for individual deliverers are specified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Intervention and comparator</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Intervention and comparator with sufficient details to allow replication including how, when, and by whom they will be administered. If relevant, where additional materials describing the intervention and comparator (eg, intervention manual) can be accessed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Table 4</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Criteria for discontinuing or modifying allocated intervention/comparator for a trial participant (eg, drug dose change in response to harms, participant request, or improving/worsening disease)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 PARADISE, Tailoring and fidelity — continuation as scheduled unless withdrawal, ulcer requiring active treatment, or a discontinuation criterion is met</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Strategies to improve adherence to intervention/comparator protocols, if applicable, and any procedures for monitoring adherence (eg, drug tablet return, sessions attended)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 PARADISE, Tailoring and fidelity; Monitoring; Process evaluation — fidelity measured through structured observation, protocol-deviation logs and therapist diaries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Concomitant care that is permitted or prohibited during the trial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 PARADISE, Concomitant care — nothing prohibited; concomitant medication and healthcare contacts recorded at every visit</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Outcomes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Primary and secondary outcomes, including the specific measurement variable (eg, systolic blood pressure), analysis metric (eg, change from baseline, final value, time to event), method of aggregation (eg, median, proportion), and time point for each outcome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Outcome measures; Table 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Harms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17</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harms are defined and will be assessed (eg, systematically, non-systematically)</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Adverse events — definitions, reporting timelines, anticipated device-related events, and the dual status of ulceration as outcome and adverse event</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Participant timeline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18</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Time schedule of enrolment, interventions (including any run-ins and washouts), assessments, and visits for participants. A schematic diagram is highly recommended (see fig 1 )</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Data collection and participant timeline; Table 2 (SPIRIT 2025 diagram); Figure 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Sample size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19</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sample size was determined, including all assumptions supporting the sample size calculation</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Sample size — both co-primary outcomes, attrition assumption, achieved power and joint power; Additional file 7</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Recruitment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Strategies for achieving adequate participant enrolment to reach target sample size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Participants, Recruitment</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Assignment of interventions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Randomisation: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Sequence generation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21a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generate the random allocation sequence and the method used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21b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Type of randomisation (simple or restricted) and details of any factors for stratification. To reduce predictability of a random sequence, other details of any planned restriction (eg, blocking) should be provided in a separate document that is unavailable to those who enrol participants or assign interventions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 — permuted blocks of randomly varying size, stratified by centre, block sizes withheld from sites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Allocation concealment mechanism</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Mechanism used to implement the random allocation sequence (eg, central computer/telephone; sequentially numbered, opaque, sealed containers), describing any steps to conceal the sequence until interventions are assigned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 — sequentially numbered, opaque, sealed envelopes prepared centrally</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Implementation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Whether the personnel who will enrol and those who will assign participants to the interventions will have access to the random allocation sequence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Blinding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be blinded after assignment to interventions (eg, participants, care providers, outcome assessors, data analysts)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 — participants and treating clinicians unblinded; endpoint adjudication committee blinded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blinded, how blinding will be achieved and description of the similarity of interventions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Randomisation, allocation concealment and blinding — blinded adjudication from de-identified documentation; blinding of pressure values in usual care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blinded, circumstances under which unblinding is permissible, and procedure for revealing a participant’s allocated intervention during the trial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Partly addressed. </w:t>
            </w:r>
            <w:r>
              <w:rPr>
                <w:sz w:val="17"/>
              </w:rPr>
              <w:t>Randomisation, allocation concealment and blinding — the limits of blinding are specified for clinical findings, which are always disclosed. No unblinding procedure is described for the adjudication committee</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Data collection, management, and analysis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collection methods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25a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assessment and collection of trial data, including any related processes to promote data quality (eg, duplicate measurements, training of assessors) and a description of trial instruments (eg, questionnaires, laboratory tests) along with their reliability and validity, if known. Reference to where data collection forms can be accessed, if not in the protocol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Data collection and participant timeline — source worksheets, REDCap entry, pseudonymous identifier, sensor download, monitored completeness metric</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25b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to promote participant retention and complete follow-up, including list of any outcome data to be collected for participants who discontinue or deviate from intervention protocols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Data collection and participant timeline, Retention — visit alignment, reminders, travel reimbursement, and record-based ascertainment for withdrawals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management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data entry, coding, security, and storage, including any related processes to promote data quality (eg, double data entry; range checks for data values). Reference to where details of data management procedures can be accessed, if not in the protocol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Data management — consistency and range checks, data management plan, secured transfer under GDPR, ten-year archiving under ISO 14155:2020</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Statistical methods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Statistical methods used to compare groups for primary and secondary outcomes, including harms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Statistical analysis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Definition of who will be included in each analysis (eg, all randomised participants), and in which group</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Statistical analysis — intention-to-treat population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missing data will be handled in the analysis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Statistical analysis — missing-data strategy</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Methods for any additional analyses (eg, subgroup and sensitivity analyses)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Statistical analysis — subgroup, sensitivity and responder analyses; Health economics; Process evaluation</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Monitoring</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monitoring committee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28a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Composition of data monitoring committee (DMC); summary of its role and reporting structure; statement of whether it is independent from the sponsor and funder; conflicts of interest and reference to where further details about its charter can be found, if not in the protocol. Alternatively, an explanation of why a DMC is not needed</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Monitoring — no independent data monitoring committee constituted, with the rationale stated and the alternative safety oversight described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28b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Explanation of any interim analyses and stopping guidelines, including who will have access to these interim results and make the final decision to terminate the trial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Monitoring — no interim efficacy analyses are planned and no formal stopping guidelines are defined, with the rationale stated and the six-monthly safety review described as the alternative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monitoring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29</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Frequency and procedures for monitoring trial conduct. If there is no monitoring, give explanation</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Monitoring — risk classification, risk-proportionate central monitoring, triggers for on-site verification, and the explicit justification for not using third-party monitoring</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Ethics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Research ethics approval</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seeking research ethics committee/institutional review board approval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Ethics; Declarations, Ethics approval and consent to participate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amendments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31</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communicating important protocol modifications to relevant parties</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Ethics — substantial amendments require approval before implementation; deviations documented and reported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Consent or assent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32a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obtain informed consent or assent from potential trial participants or authorised proxies, and how</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Ethics; Declarations — written consent from participants and participating therapists before any study-specific procedure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32b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Additional consent provisions for collection and use of participant data and biological specimens in ancillary studies, if applicable</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Partly addressed. </w:t>
            </w:r>
            <w:r>
              <w:rPr>
                <w:sz w:val="17"/>
              </w:rPr>
              <w:t>Declarations, Availability of data and materials describes deposit of the individual participant and biomechanical datasets. Consent provisions for that secondary use are not separately described in the protocol text</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Confidentiality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personal information about potential and enrolled participants will be collected, shared, and maintained in order to protect confidentiality before, during, and after the trial</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sz w:val="17"/>
              </w:rPr>
              <w:t>Data collection and participant timeline (pseudonymisation, exclusion of directly identifying data); Data management; Ethics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Ancillary and post-trial care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34</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Provisions, if any, for ancillary and post-trial care, and for compensation to those who suffer harm from trial participation</w:t>
            </w:r>
          </w:p>
        </w:tc>
        <w:tc>
          <w:tcPr>
            <w:tcW w:type="dxa" w:w="3118"/>
            <w:tcBorders>
              <w:top w:val="single" w:sz="4" w:color="C8D3DE"/>
              <w:left w:val="single" w:sz="4" w:color="C8D3DE"/>
              <w:bottom w:val="single" w:sz="4" w:color="C8D3DE"/>
              <w:right w:val="single" w:sz="4" w:color="C8D3DE"/>
            </w:tcBorders>
          </w:tcPr>
          <w:p>
            <w:pPr>
              <w:spacing w:before="40" w:after="40"/>
            </w:pPr>
            <w:r/>
            <w:r>
              <w:rPr>
                <w:b w:val="0"/>
                <w:sz w:val="17"/>
              </w:rPr>
            </w:r>
            <w:r>
              <w:rPr>
                <w:b/>
                <w:color w:val="B04A3A"/>
                <w:sz w:val="17"/>
              </w:rPr>
              <w:t xml:space="preserve">Partly addressed. </w:t>
            </w:r>
            <w:r>
              <w:rPr>
                <w:sz w:val="17"/>
              </w:rPr>
              <w:t>Adverse events — sponsor insurance under Article 32 of the Belgian law of 22 December 2020. No provisions for ancillary or post-trial care are stated</w:t>
            </w:r>
          </w:p>
        </w:tc>
      </w:tr>
    </w:tbl>
    <w:p/>
    <w:p>
      <w:pPr>
        <w:spacing w:after="80"/>
      </w:pPr>
      <w:r>
        <w:rPr>
          <w:b/>
          <w:i w:val="0"/>
          <w:color w:val="1B3A5C"/>
          <w:sz w:val="20"/>
        </w:rPr>
        <w:t>Summary of completeness</w:t>
      </w:r>
    </w:p>
    <w:p>
      <w:pPr>
        <w:spacing w:after="200"/>
      </w:pPr>
      <w:r>
        <w:rPr>
          <w:i w:val="0"/>
          <w:sz w:val="18"/>
        </w:rPr>
        <w:t>Of the 53 checklist items, 42 are fully addressed, 5 are partly addressed, and 6 are not yet addressed. Every outstanding item is administrative rather than methodological: the trial registration identifier and date, the protocol version and date, the role of the funder, the authors’ contributions, competing interests, and the patient and public involvement statement. Each requires information held by the author team rather than any change to the design or conduct of the trial. Of the five partly addressed items, item 34 is the most consequential: sponsor insurance is stated, but provisions for ancillary and post-trial care are not.</w:t>
      </w:r>
    </w:p>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