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B3A5C"/>
          <w:sz w:val="30"/>
        </w:rPr>
        <w:t>Additional file 2. Completed TIDieR checklist</w:t>
      </w:r>
    </w:p>
    <w:p>
      <w:pPr>
        <w:spacing w:after="200"/>
      </w:pPr>
      <w:r>
        <w:rPr>
          <w:i w:val="0"/>
          <w:color w:val="1B3A5C"/>
          <w:sz w:val="19"/>
        </w:rPr>
        <w:t>Integrating offloading, adherence monitoring and behaviour change to prevent diabetic foot ulcer recurrence: protocol for the PARADISE multicentre randomised controlled trial</w:t>
      </w:r>
    </w:p>
    <w:p>
      <w:pPr>
        <w:spacing w:after="120"/>
      </w:pPr>
      <w:r>
        <w:rPr>
          <w:i w:val="0"/>
          <w:color w:val="5A6B7D"/>
          <w:sz w:val="18"/>
        </w:rPr>
        <w:t>This checklist records where each item of the Template for Intervention Description and Replication is addressed in the protocol manuscript. Locations are given as section headings; page numbers will be inserted at proof stage. Items 10 and 12 are marked not applicable in accordance with the TIDieR checklist, which states that these two items are not relevant to a protocol and cannot be described until the study is complete.</w:t>
      </w:r>
    </w:p>
    <w:p>
      <w:pPr>
        <w:spacing w:after="240"/>
      </w:pPr>
      <w:r>
        <w:rPr>
          <w:i/>
          <w:color w:val="5A6B7D"/>
          <w:sz w:val="17"/>
        </w:rPr>
        <w:t>Reference: Hoffmann TC, Glasziou PP, Boutron I, Milne R, Perera R, Moher D, et al. Better reporting of interventions: template for intervention description and replication (TIDieR) checklist and guide. BMJ. 2014;348:g1687.</w:t>
      </w:r>
    </w:p>
    <w:tbl>
      <w:tblPr>
        <w:tblW w:type="auto" w:w="0"/>
        <w:jc w:val="center"/>
        <w:tblLook w:firstColumn="1" w:firstRow="1" w:lastColumn="0" w:lastRow="0" w:noHBand="0" w:noVBand="1" w:val="04A0"/>
      </w:tblPr>
      <w:tblGrid>
        <w:gridCol w:w="2550"/>
        <w:gridCol w:w="2550"/>
        <w:gridCol w:w="2550"/>
        <w:gridCol w:w="2550"/>
      </w:tblGrid>
      <w:tr>
        <w:tc>
          <w:tcPr>
            <w:tcW w:type="dxa" w:w="680"/>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Item</w:t>
            </w:r>
          </w:p>
        </w:tc>
        <w:tc>
          <w:tcPr>
            <w:tcW w:type="dxa" w:w="1644"/>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Label</w:t>
            </w:r>
          </w:p>
        </w:tc>
        <w:tc>
          <w:tcPr>
            <w:tcW w:type="dxa" w:w="3628"/>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TIDieR item</w:t>
            </w:r>
          </w:p>
        </w:tc>
        <w:tc>
          <w:tcPr>
            <w:tcW w:type="dxa" w:w="4139"/>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Where addressed in the protocol</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1</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BRIEF NAME</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Provide the name or a phrase that describes the intervention.</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Interventions, Intervention: PARADISE. The intervention is named PARADISE (Pressure-Adherence-Education Driven Service) and comprises two components: pressure-guided footwear optimisation, and the Structured Education and Behavioural Intervention Approach (SEBIA). See also Table 4 and Figure 2.</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2</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WHY</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Describe any rationale, theory, or goal of the elements essential to the intervention.</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Introduction; Interventions, Intervention: PARADISE, Rationale. The two components target the two mechanistically distinct and sequentially dependent drivers of recurrence: insufficient offloading of plantar pressure, and insufficient wear of the footwear providing it. SEBIA is mapped explicitly onto the Capability–Opportunity–Motivation–Behaviour model, with the mapping given per step. Figure 3 sets out the logic model.</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3</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WHAT (materials)</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Materials: Describe any physical or informational materials used in the intervention, including those provided to participants or used in intervention delivery or in training of intervention providers. Provide information on where the materials can be accessed.</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Interventions, Intervention: PARADISE. Custom-made foot orthoses manufactured to a published design protocol, with construction specified; the Novel pedar in-shoe system with novel database software and trublu calibration device; the Orthotimer temperature sensor; the MoveMonitor accelerometer; written education materials and foot-care demonstration equipment for SEBIA. Manufacturer and model are named for each device.</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4</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WHAT (procedures)</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Procedures: Describe each of the procedures, activities, and/or processes used in the intervention, including any enabling or support activities.</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Interventions, Intervention: PARADISE. Pressure measurement protocol (walkway distance, minimum steps per foot, walking speed control, sock standardisation, eight-region mask); iterative orthosis modification under pressure feedback to a defined target; sensor integration; and the five SEBIA steps described individually. Table 4 gives the components in tabular form.</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5</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WHO PROVIDED</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For each category of intervention provider (e.g. psychologist, nursing assistant), describe their expertise, background and any specific training given.</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Interventions, Intervention: PARADISE. SEBIA is delivered face-to-face by clinical staff of the participating diabetic foot clinics — podiatrists, nurses and physicians — standardised across sites through motivational interviewing training delivered by an expert psychologist. Orthoses are manufactured by a certified pedorthist; in-shoe pressure is measured by the clinical team, with the F-Scan GO validation sub-study performed by the study team only.</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6</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HOW</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Describe the modes of delivery (e.g. face-to-face or by some other mechanism, such as internet or telephone) of the intervention and whether it was provided individually or in a group.</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Interventions, Intervention: PARADISE. Delivered face-to-face and individually, within the clinic during scheduled follow-up visits. No group or remote delivery component.</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7</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WHERE</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Describe the type(s) of location(s) where the intervention occurred, including any necessary infrastructure or relevant features.</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sz w:val="17"/>
              </w:rPr>
              <w:t>Setting; Table 1. Six Belgian diabetic foot clinics recognised by RIZIV–INAMI, three academic and three non-academic, operating to predefined quality criteria including minimum patient volumes. Interventions are delivered within these clinics during routine visits.</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8</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WHEN and HOW MUCH</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Describe the number of times the intervention was delivered and over what period of time including the number of sessions, their schedule, and their duration, intensity or dose.</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Interventions; Data collection and participant timeline; Table 2; Figure 2. Orthosis prescription at 1 month and delivery with sensor integration at 3 months, with replacement at 6, 12 and 18 months. SEBIA Step 1 at baseline, Step 2 at 3 months, Step 3 at 6 and 12 months, Step 4 at 9 and 15 months, Step 5 at 18 months. Total participant duration 18 months.</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9</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TAILORING</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If the intervention was planned to be personalised, titrated or adapted, then describe what, why, when, and how.</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Interventions, Intervention: PARADISE, Tailoring and fidelity. Both components are individually tailored: the offloading target is defined against each participant’s own baseline pressure, and SEBIA content from Step 3 onward is adapted to each participant’s specific adherence barriers rather than delivered as a fixed script.</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10</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MODIFICATIONS</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If the intervention was modified during the course of the study, describe the changes (what, why, when, and how).</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b/>
                <w:color w:val="5A6B7D"/>
                <w:sz w:val="17"/>
              </w:rPr>
              <w:t xml:space="preserve">N/A. </w:t>
            </w:r>
            <w:r>
              <w:rPr>
                <w:sz w:val="17"/>
              </w:rPr>
              <w:t>Not applicable to a protocol. Per the TIDieR checklist, this item cannot be described until the study is complete.</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11</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HOW WELL (planned)</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Planned: If intervention adherence or fidelity was assessed, describe how and by whom, and if any strategies were used to maintain or improve fidelity, describe them.</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sz w:val="17"/>
              </w:rPr>
              <w:t>Interventions, Tailoring and fidelity; Monitoring; Process evaluation. Fidelity is supported structurally through standardised motivational interviewing training and monitored empirically through the process evaluation using structured observation, protocol-deviation logs and therapist diaries. Achieved pressure reduction is recorded for every participant and reported as a fidelity measure, so that a null clinical result can be interpreted against the offloading actually delivered.</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12</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HOW WELL (actual)</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Actual: If intervention adherence or fidelity was assessed, describe the extent to which the intervention was delivered as planned.</w:t>
            </w:r>
          </w:p>
        </w:tc>
        <w:tc>
          <w:tcPr>
            <w:tcW w:type="dxa" w:w="4139"/>
            <w:tcBorders>
              <w:top w:val="single" w:sz="4" w:color="C8D3DE"/>
              <w:left w:val="single" w:sz="4" w:color="C8D3DE"/>
              <w:bottom w:val="single" w:sz="4" w:color="C8D3DE"/>
              <w:right w:val="single" w:sz="4" w:color="C8D3DE"/>
            </w:tcBorders>
          </w:tcPr>
          <w:p>
            <w:pPr>
              <w:spacing w:before="40" w:after="40"/>
            </w:pPr>
            <w:r/>
            <w:r>
              <w:rPr>
                <w:b w:val="0"/>
                <w:sz w:val="17"/>
              </w:rPr>
            </w:r>
            <w:r>
              <w:rPr>
                <w:b/>
                <w:color w:val="5A6B7D"/>
                <w:sz w:val="17"/>
              </w:rPr>
              <w:t xml:space="preserve">N/A. </w:t>
            </w:r>
            <w:r>
              <w:rPr>
                <w:sz w:val="17"/>
              </w:rPr>
              <w:t>Not applicable to a protocol. Per the TIDieR checklist, this item cannot be described until the study is complete.</w:t>
            </w:r>
          </w:p>
        </w:tc>
      </w:tr>
    </w:tbl>
    <w:p/>
    <w:p>
      <w:pPr>
        <w:spacing w:after="80"/>
      </w:pPr>
      <w:r>
        <w:rPr>
          <w:b/>
          <w:i w:val="0"/>
          <w:color w:val="1B3A5C"/>
          <w:sz w:val="20"/>
        </w:rPr>
        <w:t>Summary of completeness</w:t>
      </w:r>
    </w:p>
    <w:p>
      <w:pPr>
        <w:spacing w:after="200"/>
      </w:pPr>
      <w:r>
        <w:rPr>
          <w:i w:val="0"/>
          <w:sz w:val="18"/>
        </w:rPr>
        <w:t>All ten items applicable to a protocol are addressed in the manuscript. Items 10 (modifications) and 12 (fidelity as actually delivered) are not applicable at protocol stage and will be completed in the results publication, for which the process evaluation has been designed to supply the necessary data.</w:t>
      </w:r>
    </w:p>
    <w:sectPr w:rsidR="00FC693F" w:rsidRPr="0006063C" w:rsidSect="00034616">
      <w:pgSz w:w="12240" w:h="15840"/>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