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Develop a Security Policy Document for a Hypothetical SME Based on ISO/IEC 27001, and Perform a NIST-Aligned Risk Assessment</w:t>
      </w:r>
    </w:p>
    <w:p>
      <w:pPr>
        <w:spacing w:after="400"/>
        <w:jc w:val="center"/>
      </w:pPr>
      <w:r>
        <w:rPr>
          <w:rFonts w:ascii="Times New Roman" w:cs="Times New Roman" w:eastAsia="Times New Roman" w:hAnsi="Times New Roman"/>
          <w:i/>
          <w:iCs/>
          <w:sz w:val="22"/>
          <w:szCs w:val="22"/>
        </w:rPr>
        <w:t xml:space="preserve">Case Study: Nexora Solutions Pvt Ltd (Hypothetical SME)</w:t>
      </w:r>
    </w:p>
    <w:p>
      <w:pPr>
        <w:pStyle w:val="Heading1"/>
        <w:spacing w:after="240" w:before="300" w:line="360" w:lineRule="auto"/>
      </w:pPr>
      <w:r>
        <w:rPr>
          <w:rFonts w:ascii="Times New Roman" w:cs="Times New Roman" w:eastAsia="Times New Roman" w:hAnsi="Times New Roman"/>
          <w:b/>
          <w:bCs/>
          <w:sz w:val="32"/>
          <w:szCs w:val="32"/>
        </w:rPr>
        <w:t xml:space="preserve">1. Information Security Policy</w:t>
      </w:r>
    </w:p>
    <w:p>
      <w:pPr>
        <w:pStyle w:val="Heading2"/>
        <w:spacing w:after="160" w:before="260" w:line="360" w:lineRule="auto"/>
      </w:pPr>
      <w:r>
        <w:rPr>
          <w:rFonts w:ascii="Times New Roman" w:cs="Times New Roman" w:eastAsia="Times New Roman" w:hAnsi="Times New Roman"/>
          <w:b/>
          <w:bCs/>
          <w:sz w:val="28"/>
          <w:szCs w:val="28"/>
        </w:rPr>
        <w:t xml:space="preserve">1.1 Purpose &amp; Scope</w:t>
      </w:r>
    </w:p>
    <w:p>
      <w:pPr>
        <w:spacing w:after="160" w:line="360" w:lineRule="auto"/>
        <w:jc w:val="both"/>
      </w:pPr>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rPr>
        <w:t xml:space="preserve">This Information Security Policy (“the Policy”) establishes the principles and controls by which Nexora Solutions Pvt Ltd (“Nexora” or “the Company”), a 40-employee software consultancy, protects the confidentiality, integrity, and availability of its own information assets and those of its clients.</w:t>
      </w:r>
    </w:p>
    <w:p>
      <w:pPr>
        <w:spacing w:after="160" w:line="360" w:lineRule="auto"/>
        <w:jc w:val="both"/>
      </w:pPr>
      <w:r>
        <w:rPr>
          <w:rFonts w:ascii="Times New Roman" w:cs="Times New Roman" w:eastAsia="Times New Roman" w:hAnsi="Times New Roman"/>
          <w:b/>
          <w:bCs/>
          <w:sz w:val="24"/>
          <w:szCs w:val="24"/>
        </w:rPr>
        <w:t xml:space="preserve">1.1.2  </w:t>
      </w:r>
      <w:r>
        <w:rPr>
          <w:rFonts w:ascii="Times New Roman" w:cs="Times New Roman" w:eastAsia="Times New Roman" w:hAnsi="Times New Roman"/>
          <w:sz w:val="24"/>
          <w:szCs w:val="24"/>
        </w:rPr>
        <w:t xml:space="preserve">The Policy applies to all employees, contractors, and third parties who access Nexora's systems, networks, source code repositories, or client data, regardless of location or device ownership.</w:t>
      </w:r>
    </w:p>
    <w:p>
      <w:pPr>
        <w:spacing w:after="160" w:line="360" w:lineRule="auto"/>
        <w:jc w:val="both"/>
      </w:pPr>
      <w:r>
        <w:rPr>
          <w:rFonts w:ascii="Times New Roman" w:cs="Times New Roman" w:eastAsia="Times New Roman" w:hAnsi="Times New Roman"/>
          <w:b/>
          <w:bCs/>
          <w:sz w:val="24"/>
          <w:szCs w:val="24"/>
        </w:rPr>
        <w:t xml:space="preserve">1.1.3  </w:t>
      </w:r>
      <w:r>
        <w:rPr>
          <w:rFonts w:ascii="Times New Roman" w:cs="Times New Roman" w:eastAsia="Times New Roman" w:hAnsi="Times New Roman"/>
          <w:sz w:val="24"/>
          <w:szCs w:val="24"/>
        </w:rPr>
        <w:t xml:space="preserve">This Policy is aligned with the control objectives of ISO/IEC 27001:2022 Annex A and the NIST Cybersecurity Framework, and is reviewed annually or upon any significant change to the Company's technology environment.</w:t>
      </w:r>
    </w:p>
    <w:p>
      <w:pPr>
        <w:pStyle w:val="Heading2"/>
        <w:spacing w:after="160" w:before="260" w:line="360" w:lineRule="auto"/>
      </w:pPr>
      <w:r>
        <w:rPr>
          <w:rFonts w:ascii="Times New Roman" w:cs="Times New Roman" w:eastAsia="Times New Roman" w:hAnsi="Times New Roman"/>
          <w:b/>
          <w:bCs/>
          <w:sz w:val="28"/>
          <w:szCs w:val="28"/>
        </w:rPr>
        <w:t xml:space="preserve">1.2 Access Control Policy</w:t>
      </w:r>
    </w:p>
    <w:p>
      <w:pPr>
        <w:spacing w:after="200" w:line="360" w:lineRule="auto"/>
        <w:jc w:val="both"/>
      </w:pPr>
      <w:r>
        <w:rPr>
          <w:rFonts w:ascii="Times New Roman" w:cs="Times New Roman" w:eastAsia="Times New Roman" w:hAnsi="Times New Roman"/>
          <w:sz w:val="24"/>
          <w:szCs w:val="24"/>
        </w:rPr>
        <w:t xml:space="preserve">Reference: ISO/IEC 27001 Annex A.9 (Access Control) and NIST SP 800-53 AC control family.</w:t>
      </w:r>
    </w:p>
    <w:p>
      <w:pPr>
        <w:spacing w:after="160" w:line="360" w:lineRule="auto"/>
        <w:jc w:val="both"/>
      </w:pPr>
      <w:r>
        <w:rPr>
          <w:rFonts w:ascii="Times New Roman" w:cs="Times New Roman" w:eastAsia="Times New Roman" w:hAnsi="Times New Roman"/>
          <w:b/>
          <w:bCs/>
          <w:sz w:val="24"/>
          <w:szCs w:val="24"/>
        </w:rPr>
        <w:t xml:space="preserve">1.2.1  </w:t>
      </w:r>
      <w:r>
        <w:rPr>
          <w:rFonts w:ascii="Times New Roman" w:cs="Times New Roman" w:eastAsia="Times New Roman" w:hAnsi="Times New Roman"/>
          <w:sz w:val="24"/>
          <w:szCs w:val="24"/>
        </w:rPr>
        <w:t xml:space="preserve">Access to information systems shall be granted on the principle of least privilege — employees are provisioned only with the access required to perform their current role.</w:t>
      </w:r>
    </w:p>
    <w:p>
      <w:pPr>
        <w:spacing w:after="160" w:line="360" w:lineRule="auto"/>
        <w:jc w:val="both"/>
      </w:pPr>
      <w:r>
        <w:rPr>
          <w:rFonts w:ascii="Times New Roman" w:cs="Times New Roman" w:eastAsia="Times New Roman" w:hAnsi="Times New Roman"/>
          <w:b/>
          <w:bCs/>
          <w:sz w:val="24"/>
          <w:szCs w:val="24"/>
        </w:rPr>
        <w:t xml:space="preserve">1.2.2  </w:t>
      </w:r>
      <w:r>
        <w:rPr>
          <w:rFonts w:ascii="Times New Roman" w:cs="Times New Roman" w:eastAsia="Times New Roman" w:hAnsi="Times New Roman"/>
          <w:sz w:val="24"/>
          <w:szCs w:val="24"/>
        </w:rPr>
        <w:t xml:space="preserve">Role-Based Access Control (RBAC) shall be implemented for all business-critical systems, including source code repositories, cloud infrastructure, and the customer relationship management (CRM) platform.</w:t>
      </w:r>
    </w:p>
    <w:p>
      <w:pPr>
        <w:spacing w:after="160" w:line="360" w:lineRule="auto"/>
        <w:jc w:val="both"/>
      </w:pPr>
      <w:r>
        <w:rPr>
          <w:rFonts w:ascii="Times New Roman" w:cs="Times New Roman" w:eastAsia="Times New Roman" w:hAnsi="Times New Roman"/>
          <w:b/>
          <w:bCs/>
          <w:sz w:val="24"/>
          <w:szCs w:val="24"/>
        </w:rPr>
        <w:t xml:space="preserve">1.2.3  </w:t>
      </w:r>
      <w:r>
        <w:rPr>
          <w:rFonts w:ascii="Times New Roman" w:cs="Times New Roman" w:eastAsia="Times New Roman" w:hAnsi="Times New Roman"/>
          <w:sz w:val="24"/>
          <w:szCs w:val="24"/>
        </w:rPr>
        <w:t xml:space="preserve">User accounts shall be provisioned within one business day of an employee's start date and de-provisioned (disabled and later removed) within 24 hours of employment termination or role change that no longer requires the access held.</w:t>
      </w:r>
    </w:p>
    <w:p>
      <w:pPr>
        <w:spacing w:after="160" w:line="360" w:lineRule="auto"/>
        <w:jc w:val="both"/>
      </w:pPr>
      <w:r>
        <w:rPr>
          <w:rFonts w:ascii="Times New Roman" w:cs="Times New Roman" w:eastAsia="Times New Roman" w:hAnsi="Times New Roman"/>
          <w:b/>
          <w:bCs/>
          <w:sz w:val="24"/>
          <w:szCs w:val="24"/>
        </w:rPr>
        <w:t xml:space="preserve">1.2.4  </w:t>
      </w:r>
      <w:r>
        <w:rPr>
          <w:rFonts w:ascii="Times New Roman" w:cs="Times New Roman" w:eastAsia="Times New Roman" w:hAnsi="Times New Roman"/>
          <w:sz w:val="24"/>
          <w:szCs w:val="24"/>
        </w:rPr>
        <w:t xml:space="preserve">Multi-Factor Authentication (MFA) is mandatory for all accounts with administrative, privileged, or remote-access capability, including VPN, cloud consoles, and source control platforms.</w:t>
      </w:r>
    </w:p>
    <w:p>
      <w:pPr>
        <w:spacing w:after="160" w:line="360" w:lineRule="auto"/>
        <w:jc w:val="both"/>
      </w:pPr>
      <w:r>
        <w:rPr>
          <w:rFonts w:ascii="Times New Roman" w:cs="Times New Roman" w:eastAsia="Times New Roman" w:hAnsi="Times New Roman"/>
          <w:b/>
          <w:bCs/>
          <w:sz w:val="24"/>
          <w:szCs w:val="24"/>
        </w:rPr>
        <w:t xml:space="preserve">1.2.5  </w:t>
      </w:r>
      <w:r>
        <w:rPr>
          <w:rFonts w:ascii="Times New Roman" w:cs="Times New Roman" w:eastAsia="Times New Roman" w:hAnsi="Times New Roman"/>
          <w:sz w:val="24"/>
          <w:szCs w:val="24"/>
        </w:rPr>
        <w:t xml:space="preserve">Access rights shall be reviewed quarterly by system owners, with findings documented and any excessive privileges revoked.</w:t>
      </w:r>
    </w:p>
    <w:p>
      <w:pPr>
        <w:pStyle w:val="Heading2"/>
        <w:spacing w:after="160" w:before="260" w:line="360" w:lineRule="auto"/>
      </w:pPr>
      <w:r>
        <w:rPr>
          <w:rFonts w:ascii="Times New Roman" w:cs="Times New Roman" w:eastAsia="Times New Roman" w:hAnsi="Times New Roman"/>
          <w:b/>
          <w:bCs/>
          <w:sz w:val="28"/>
          <w:szCs w:val="28"/>
        </w:rPr>
        <w:t xml:space="preserve">1.3 Password Policy</w:t>
      </w:r>
    </w:p>
    <w:p>
      <w:pPr>
        <w:spacing w:after="200" w:line="360" w:lineRule="auto"/>
        <w:jc w:val="both"/>
      </w:pPr>
      <w:r>
        <w:rPr>
          <w:rFonts w:ascii="Times New Roman" w:cs="Times New Roman" w:eastAsia="Times New Roman" w:hAnsi="Times New Roman"/>
          <w:sz w:val="24"/>
          <w:szCs w:val="24"/>
        </w:rPr>
        <w:t xml:space="preserve">Reference: NIST SP 800-63B Digital Identity Guidelines.</w:t>
      </w:r>
    </w:p>
    <w:p>
      <w:pPr>
        <w:spacing w:after="160" w:line="360" w:lineRule="auto"/>
        <w:jc w:val="both"/>
      </w:pPr>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rPr>
        <w:t xml:space="preserve">Passwords shall be a minimum of 12 characters in length. Complexity composition rules (mandatory special characters, forced substitutions) are not required, in line with current NIST guidance, provided the minimum length is met.</w:t>
      </w:r>
    </w:p>
    <w:p>
      <w:pPr>
        <w:spacing w:after="160" w:line="360" w:lineRule="auto"/>
        <w:jc w:val="both"/>
      </w:pPr>
      <w:r>
        <w:rPr>
          <w:rFonts w:ascii="Times New Roman" w:cs="Times New Roman" w:eastAsia="Times New Roman" w:hAnsi="Times New Roman"/>
          <w:b/>
          <w:bCs/>
          <w:sz w:val="24"/>
          <w:szCs w:val="24"/>
        </w:rPr>
        <w:t xml:space="preserve">1.3.2  </w:t>
      </w:r>
      <w:r>
        <w:rPr>
          <w:rFonts w:ascii="Times New Roman" w:cs="Times New Roman" w:eastAsia="Times New Roman" w:hAnsi="Times New Roman"/>
          <w:sz w:val="24"/>
          <w:szCs w:val="24"/>
        </w:rPr>
        <w:t xml:space="preserve">Periodic forced password rotation is not required for standard user accounts; passwords shall instead be changed immediately upon any suspected or confirmed compromise.</w:t>
      </w:r>
    </w:p>
    <w:p>
      <w:pPr>
        <w:spacing w:after="160" w:line="360" w:lineRule="auto"/>
        <w:jc w:val="both"/>
      </w:pPr>
      <w:r>
        <w:rPr>
          <w:rFonts w:ascii="Times New Roman" w:cs="Times New Roman" w:eastAsia="Times New Roman" w:hAnsi="Times New Roman"/>
          <w:b/>
          <w:bCs/>
          <w:sz w:val="24"/>
          <w:szCs w:val="24"/>
        </w:rPr>
        <w:t xml:space="preserve">1.3.3  </w:t>
      </w:r>
      <w:r>
        <w:rPr>
          <w:rFonts w:ascii="Times New Roman" w:cs="Times New Roman" w:eastAsia="Times New Roman" w:hAnsi="Times New Roman"/>
          <w:sz w:val="24"/>
          <w:szCs w:val="24"/>
        </w:rPr>
        <w:t xml:space="preserve">All privileged and administrative accounts require Multi-Factor Authentication in addition to a password, with no exceptions.</w:t>
      </w:r>
    </w:p>
    <w:p>
      <w:pPr>
        <w:spacing w:after="160" w:line="360" w:lineRule="auto"/>
        <w:jc w:val="both"/>
      </w:pPr>
      <w:r>
        <w:rPr>
          <w:rFonts w:ascii="Times New Roman" w:cs="Times New Roman" w:eastAsia="Times New Roman" w:hAnsi="Times New Roman"/>
          <w:b/>
          <w:bCs/>
          <w:sz w:val="24"/>
          <w:szCs w:val="24"/>
        </w:rPr>
        <w:t xml:space="preserve">1.3.4  </w:t>
      </w:r>
      <w:r>
        <w:rPr>
          <w:rFonts w:ascii="Times New Roman" w:cs="Times New Roman" w:eastAsia="Times New Roman" w:hAnsi="Times New Roman"/>
          <w:sz w:val="24"/>
          <w:szCs w:val="24"/>
        </w:rPr>
        <w:t xml:space="preserve">Employees are required to use an approved password manager for generating and storing credentials; the reuse of passwords across personal and Company systems is prohibited.</w:t>
      </w:r>
    </w:p>
    <w:p>
      <w:pPr>
        <w:spacing w:after="160" w:line="360" w:lineRule="auto"/>
        <w:jc w:val="both"/>
      </w:pPr>
      <w:r>
        <w:rPr>
          <w:rFonts w:ascii="Times New Roman" w:cs="Times New Roman" w:eastAsia="Times New Roman" w:hAnsi="Times New Roman"/>
          <w:b/>
          <w:bCs/>
          <w:sz w:val="24"/>
          <w:szCs w:val="24"/>
        </w:rPr>
        <w:t xml:space="preserve">1.3.5  </w:t>
      </w:r>
      <w:r>
        <w:rPr>
          <w:rFonts w:ascii="Times New Roman" w:cs="Times New Roman" w:eastAsia="Times New Roman" w:hAnsi="Times New Roman"/>
          <w:sz w:val="24"/>
          <w:szCs w:val="24"/>
        </w:rPr>
        <w:t xml:space="preserve">Passwords shall never be transmitted or stored in plaintext, including in emails, chat messages, source code, or configuration files.</w:t>
      </w:r>
    </w:p>
    <w:p>
      <w:pPr>
        <w:pStyle w:val="Heading2"/>
        <w:spacing w:after="160" w:before="260" w:line="360" w:lineRule="auto"/>
      </w:pPr>
      <w:r>
        <w:rPr>
          <w:rFonts w:ascii="Times New Roman" w:cs="Times New Roman" w:eastAsia="Times New Roman" w:hAnsi="Times New Roman"/>
          <w:b/>
          <w:bCs/>
          <w:sz w:val="28"/>
          <w:szCs w:val="28"/>
        </w:rPr>
        <w:t xml:space="preserve">1.4 Incident Reporting Policy</w:t>
      </w:r>
    </w:p>
    <w:p>
      <w:pPr>
        <w:spacing w:after="200" w:line="360" w:lineRule="auto"/>
        <w:jc w:val="both"/>
      </w:pPr>
      <w:r>
        <w:rPr>
          <w:rFonts w:ascii="Times New Roman" w:cs="Times New Roman" w:eastAsia="Times New Roman" w:hAnsi="Times New Roman"/>
          <w:sz w:val="24"/>
          <w:szCs w:val="24"/>
        </w:rPr>
        <w:t xml:space="preserve">Reference: ISO/IEC 27001 Annex A.16 (Information Security Incident Management).</w:t>
      </w:r>
    </w:p>
    <w:p>
      <w:pPr>
        <w:spacing w:after="160" w:line="360" w:lineRule="auto"/>
        <w:jc w:val="both"/>
      </w:pPr>
      <w:r>
        <w:rPr>
          <w:rFonts w:ascii="Times New Roman" w:cs="Times New Roman" w:eastAsia="Times New Roman" w:hAnsi="Times New Roman"/>
          <w:b/>
          <w:bCs/>
          <w:sz w:val="24"/>
          <w:szCs w:val="24"/>
        </w:rPr>
        <w:t xml:space="preserve">1.4.1  </w:t>
      </w:r>
      <w:r>
        <w:rPr>
          <w:rFonts w:ascii="Times New Roman" w:cs="Times New Roman" w:eastAsia="Times New Roman" w:hAnsi="Times New Roman"/>
          <w:sz w:val="24"/>
          <w:szCs w:val="24"/>
        </w:rPr>
        <w:t xml:space="preserve">Any suspected or confirmed information security incident — including but not limited to malware infection, unauthorized access, lost devices, or phishing attempts — must be reported to the IT Security Lead immediately, and in no case later than one hour after discovery.</w:t>
      </w:r>
    </w:p>
    <w:p>
      <w:pPr>
        <w:spacing w:after="160" w:line="360" w:lineRule="auto"/>
        <w:jc w:val="both"/>
      </w:pPr>
      <w:r>
        <w:rPr>
          <w:rFonts w:ascii="Times New Roman" w:cs="Times New Roman" w:eastAsia="Times New Roman" w:hAnsi="Times New Roman"/>
          <w:b/>
          <w:bCs/>
          <w:sz w:val="24"/>
          <w:szCs w:val="24"/>
        </w:rPr>
        <w:t xml:space="preserve">1.4.2  </w:t>
      </w:r>
      <w:r>
        <w:rPr>
          <w:rFonts w:ascii="Times New Roman" w:cs="Times New Roman" w:eastAsia="Times New Roman" w:hAnsi="Times New Roman"/>
          <w:sz w:val="24"/>
          <w:szCs w:val="24"/>
        </w:rPr>
        <w:t xml:space="preserve">Incidents shall be classified upon triage using the following severity scale: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Low — no material impact on confidentiality, integrity, or availability; contained to a single, non-critical asset.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Medium — limited impact affecting a single system or a small group of users; contained without client data exposure.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High — significant impact, potential or confirmed exposure of client or Company data; requires immediate containment.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Critical — severe, active compromise with confirmed data breach, ransomware, or loss of critical service availability; triggers full incident response activation.</w:t>
      </w:r>
    </w:p>
    <w:p>
      <w:pPr>
        <w:spacing w:after="160" w:line="360" w:lineRule="auto"/>
        <w:jc w:val="both"/>
      </w:pPr>
      <w:r>
        <w:rPr>
          <w:rFonts w:ascii="Times New Roman" w:cs="Times New Roman" w:eastAsia="Times New Roman" w:hAnsi="Times New Roman"/>
          <w:b/>
          <w:bCs/>
          <w:sz w:val="24"/>
          <w:szCs w:val="24"/>
        </w:rPr>
        <w:t xml:space="preserve">1.4.3  </w:t>
      </w:r>
      <w:r>
        <w:rPr>
          <w:rFonts w:ascii="Times New Roman" w:cs="Times New Roman" w:eastAsia="Times New Roman" w:hAnsi="Times New Roman"/>
          <w:sz w:val="24"/>
          <w:szCs w:val="24"/>
        </w:rPr>
        <w:t xml:space="preserve">The escalation chain for High and Critical incidents is: Reporting Employee → IT Security Lead → Chief Technology Officer → Executive Leadership, with client notification (where client data is involved) issued within 72 hours in line with applicable contractual and regulatory obligations.</w:t>
      </w:r>
    </w:p>
    <w:p>
      <w:pPr>
        <w:spacing w:after="160" w:line="360" w:lineRule="auto"/>
        <w:jc w:val="both"/>
      </w:pPr>
      <w:r>
        <w:rPr>
          <w:rFonts w:ascii="Times New Roman" w:cs="Times New Roman" w:eastAsia="Times New Roman" w:hAnsi="Times New Roman"/>
          <w:b/>
          <w:bCs/>
          <w:sz w:val="24"/>
          <w:szCs w:val="24"/>
        </w:rPr>
        <w:t xml:space="preserve">1.4.4  </w:t>
      </w:r>
      <w:r>
        <w:rPr>
          <w:rFonts w:ascii="Times New Roman" w:cs="Times New Roman" w:eastAsia="Times New Roman" w:hAnsi="Times New Roman"/>
          <w:sz w:val="24"/>
          <w:szCs w:val="24"/>
        </w:rPr>
        <w:t xml:space="preserve">All incidents, regardless of severity, shall be logged in the Company's incident register and reviewed at the following monthly security meeting for root-cause analysis and lessons learned.</w:t>
      </w:r>
    </w:p>
    <w:p>
      <w:pPr>
        <w:pStyle w:val="Heading2"/>
        <w:spacing w:after="160" w:before="260" w:line="360" w:lineRule="auto"/>
      </w:pPr>
      <w:r>
        <w:rPr>
          <w:rFonts w:ascii="Times New Roman" w:cs="Times New Roman" w:eastAsia="Times New Roman" w:hAnsi="Times New Roman"/>
          <w:b/>
          <w:bCs/>
          <w:sz w:val="28"/>
          <w:szCs w:val="28"/>
        </w:rPr>
        <w:t xml:space="preserve">1.5 Mapping to NIST Cybersecurity Framework (CSF) 2.0</w:t>
      </w:r>
    </w:p>
    <w:p>
      <w:pPr>
        <w:spacing w:after="200" w:line="360" w:lineRule="auto"/>
        <w:jc w:val="both"/>
      </w:pPr>
      <w:r>
        <w:rPr>
          <w:rFonts w:ascii="Times New Roman" w:cs="Times New Roman" w:eastAsia="Times New Roman" w:hAnsi="Times New Roman"/>
          <w:sz w:val="24"/>
          <w:szCs w:val="24"/>
        </w:rPr>
        <w:t xml:space="preserve">While NIST SP 800-30 informs the risk assessment methodology used in this document, the policy's provisions can also be organized against the NIST CSF 2.0 core functions to show how governance activity relates to operational security outcomes: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Govern — this Policy document itself, its annual review cycle, and Access Control clause 1.2.5 (quarterly access reviews).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Identify — the Risk Register (Section 2), which inventories assets and associated risk.</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Protect — Access Control (1.2) and Password Policy (1.3) provisions, including MFA and least-privilege enforcement.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Detect — the incident classification triage described in clause 1.4.2.</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Respond — the escalation chain in clause 1.4.3.</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Recover — addressed operationally through the Backup Storage risk treatment (Risk 11) rather than as a standalone policy clause; a dedicated Business Continuity Policy is recommended as future work.</w:t>
      </w:r>
    </w:p>
    <w:p>
      <w:pPr>
        <w:pStyle w:val="Heading1"/>
        <w:spacing w:after="240" w:before="300" w:line="360" w:lineRule="auto"/>
      </w:pPr>
      <w:r>
        <w:rPr>
          <w:rFonts w:ascii="Times New Roman" w:cs="Times New Roman" w:eastAsia="Times New Roman" w:hAnsi="Times New Roman"/>
          <w:b/>
          <w:bCs/>
          <w:sz w:val="32"/>
          <w:szCs w:val="32"/>
        </w:rPr>
        <w:t xml:space="preserve">2. Risk Assessment</w:t>
      </w:r>
    </w:p>
    <w:p>
      <w:pPr>
        <w:pStyle w:val="Heading2"/>
        <w:spacing w:after="160" w:before="260" w:line="360" w:lineRule="auto"/>
      </w:pPr>
      <w:r>
        <w:rPr>
          <w:rFonts w:ascii="Times New Roman" w:cs="Times New Roman" w:eastAsia="Times New Roman" w:hAnsi="Times New Roman"/>
          <w:b/>
          <w:bCs/>
          <w:sz w:val="28"/>
          <w:szCs w:val="28"/>
        </w:rPr>
        <w:t xml:space="preserve">2.1 Methodology</w:t>
      </w:r>
    </w:p>
    <w:p>
      <w:pPr>
        <w:spacing w:after="200" w:line="360" w:lineRule="auto"/>
        <w:jc w:val="both"/>
      </w:pPr>
      <w:r>
        <w:rPr>
          <w:rFonts w:ascii="Times New Roman" w:cs="Times New Roman" w:eastAsia="Times New Roman" w:hAnsi="Times New Roman"/>
          <w:sz w:val="24"/>
          <w:szCs w:val="24"/>
        </w:rPr>
        <w:t xml:space="preserve">The risk assessment follows a NIST-aligned qualitative scoring model. Each identified asset is evaluated against a plausible threat and an associated vulnerability, and scored as:</w:t>
      </w:r>
    </w:p>
    <w:p>
      <w:pPr>
        <w:spacing w:after="120" w:before="120"/>
        <w:jc w:val="center"/>
      </w:pPr>
      <w:r>
        <w:rPr>
          <w:rFonts w:ascii="Times New Roman" w:cs="Times New Roman" w:eastAsia="Times New Roman" w:hAnsi="Times New Roman"/>
          <w:b/>
          <w:bCs/>
          <w:i/>
          <w:iCs/>
          <w:sz w:val="26"/>
          <w:szCs w:val="26"/>
        </w:rPr>
        <w:t xml:space="preserve">Risk = Likelihood (1–5) × Impact (1–5)</w:t>
      </w:r>
    </w:p>
    <w:p>
      <w:pPr>
        <w:spacing w:after="200" w:line="360" w:lineRule="auto"/>
        <w:jc w:val="both"/>
      </w:pPr>
      <w:r>
        <w:rPr>
          <w:rFonts w:ascii="Times New Roman" w:cs="Times New Roman" w:eastAsia="Times New Roman" w:hAnsi="Times New Roman"/>
          <w:sz w:val="24"/>
          <w:szCs w:val="24"/>
        </w:rPr>
        <w:t xml:space="preserve">Likelihood reflects the probability of the threat exploiting the vulnerability within a 12-month period; Impact reflects the severity of consequence to the Company or its clients if realized. Resulting scores are classified as follows: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1–6 — Low</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7–14 — Medium</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15–20 — High</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21–25 — Critical</w:t>
      </w:r>
    </w:p>
    <w:p>
      <w:pPr>
        <w:spacing w:after="200" w:line="360" w:lineRule="auto"/>
        <w:jc w:val="both"/>
      </w:pPr>
      <w:r>
        <w:rPr>
          <w:rFonts w:ascii="Times New Roman" w:cs="Times New Roman" w:eastAsia="Times New Roman" w:hAnsi="Times New Roman"/>
          <w:sz w:val="24"/>
          <w:szCs w:val="24"/>
        </w:rPr>
        <w:t xml:space="preserve">A mitigating control is proposed for every risk scored High or Critical, in accordance with Company policy that such risks require an active treatment plan rather than passive acceptance.</w:t>
      </w:r>
    </w:p>
    <w:p>
      <w:pPr>
        <w:pStyle w:val="Heading2"/>
        <w:spacing w:after="160" w:before="260" w:line="360" w:lineRule="auto"/>
      </w:pPr>
      <w:r>
        <w:rPr>
          <w:rFonts w:ascii="Times New Roman" w:cs="Times New Roman" w:eastAsia="Times New Roman" w:hAnsi="Times New Roman"/>
          <w:b/>
          <w:bCs/>
          <w:sz w:val="28"/>
          <w:szCs w:val="28"/>
        </w:rPr>
        <w:t xml:space="preserve">2.2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900"/>
        <w:gridCol w:w="350"/>
        <w:gridCol w:w="350"/>
        <w:gridCol w:w="500"/>
        <w:gridCol w:w="700"/>
        <w:gridCol w:w="2300"/>
      </w:tblGrid>
      <w:tr>
        <w:trPr>
          <w:tblHeader/>
        </w:trPr>
        <w:tc>
          <w:tcPr>
            <w:tcW w:type="dxa" w:w="1500"/>
            <w:shd w:fill="4472C4"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18"/>
                <w:szCs w:val="18"/>
              </w:rPr>
              <w:t xml:space="preserve">Asset</w:t>
            </w:r>
          </w:p>
        </w:tc>
        <w:tc>
          <w:tcPr>
            <w:tcW w:type="dxa" w:w="1400"/>
            <w:shd w:fill="4472C4"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18"/>
                <w:szCs w:val="18"/>
              </w:rPr>
              <w:t xml:space="preserve">Threat</w:t>
            </w:r>
          </w:p>
        </w:tc>
        <w:tc>
          <w:tcPr>
            <w:tcW w:type="dxa" w:w="1900"/>
            <w:shd w:fill="4472C4"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18"/>
                <w:szCs w:val="18"/>
              </w:rPr>
              <w:t xml:space="preserve">Vulnerability</w:t>
            </w:r>
          </w:p>
        </w:tc>
        <w:tc>
          <w:tcPr>
            <w:tcW w:type="dxa" w:w="350"/>
            <w:shd w:fill="4472C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18"/>
                <w:szCs w:val="18"/>
              </w:rPr>
              <w:t xml:space="preserve">L</w:t>
            </w:r>
          </w:p>
        </w:tc>
        <w:tc>
          <w:tcPr>
            <w:tcW w:type="dxa" w:w="350"/>
            <w:shd w:fill="4472C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18"/>
                <w:szCs w:val="18"/>
              </w:rPr>
              <w:t xml:space="preserve">I</w:t>
            </w:r>
          </w:p>
        </w:tc>
        <w:tc>
          <w:tcPr>
            <w:tcW w:type="dxa" w:w="500"/>
            <w:shd w:fill="4472C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18"/>
                <w:szCs w:val="18"/>
              </w:rPr>
              <w:t xml:space="preserve">Score</w:t>
            </w:r>
          </w:p>
        </w:tc>
        <w:tc>
          <w:tcPr>
            <w:tcW w:type="dxa" w:w="700"/>
            <w:shd w:fill="4472C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bCs/>
                <w:sz w:val="18"/>
                <w:szCs w:val="18"/>
              </w:rPr>
              <w:t xml:space="preserve">Level</w:t>
            </w:r>
          </w:p>
        </w:tc>
        <w:tc>
          <w:tcPr>
            <w:tcW w:type="dxa" w:w="2300"/>
            <w:shd w:fill="4472C4" w:val="clear"/>
            <w:tcMar>
              <w:top w:type="dxa" w:w="60"/>
              <w:left w:type="dxa" w:w="80"/>
              <w:bottom w:type="dxa" w:w="60"/>
              <w:right w:type="dxa" w:w="80"/>
            </w:tcMar>
          </w:tcPr>
          <w:p>
            <w:pPr>
              <w:spacing w:line="260" w:lineRule="auto"/>
              <w:jc w:val="left"/>
            </w:pPr>
            <w:r>
              <w:rPr>
                <w:rFonts w:ascii="Times New Roman" w:cs="Times New Roman" w:eastAsia="Times New Roman" w:hAnsi="Times New Roman"/>
                <w:b/>
                <w:bCs/>
                <w:sz w:val="18"/>
                <w:szCs w:val="18"/>
              </w:rPr>
              <w:t xml:space="preserve">Mitigating Control</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1. Developer laptops</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Malware infection / device theft</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No full-disk encryption enforced</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4</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12</w:t>
            </w:r>
          </w:p>
        </w:tc>
        <w:tc>
          <w:tcPr>
            <w:tcW w:type="dxa" w:w="700"/>
            <w:shd w:fill="FFF6BF"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Medium</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Enforce BitLocker/FileVault + endpoint (EDR) agent on all devices</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2. Client source code repositories</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Unauthorized access / IP leak</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Weak repo access controls, no branch protection</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15</w:t>
            </w:r>
          </w:p>
        </w:tc>
        <w:tc>
          <w:tcPr>
            <w:tcW w:type="dxa" w:w="700"/>
            <w:shd w:fill="FBE0B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High</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Enforce MFA, least-privilege repo roles, branch protection rules</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3. CI/CD pipeline server</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Supply-chain attack via injected code</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Outdated pipeline software, hardcoded secrets</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4</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20</w:t>
            </w:r>
          </w:p>
        </w:tc>
        <w:tc>
          <w:tcPr>
            <w:tcW w:type="dxa" w:w="700"/>
            <w:shd w:fill="FBE0B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High</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Secrets vault (e.g. Vault/KMS), regular patching, signed commits</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4. Cloud development environment</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Public exposure of cloud resources</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Overly permissive default IAM roles</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4</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20</w:t>
            </w:r>
          </w:p>
        </w:tc>
        <w:tc>
          <w:tcPr>
            <w:tcW w:type="dxa" w:w="700"/>
            <w:shd w:fill="FBE0B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High</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Least-privilege IAM policies, periodic configuration audits</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5. Employee email system</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Phishing / business email compromise</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No SPF/DKIM/DMARC, no attachment filtering</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4</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20</w:t>
            </w:r>
          </w:p>
        </w:tc>
        <w:tc>
          <w:tcPr>
            <w:tcW w:type="dxa" w:w="700"/>
            <w:shd w:fill="FBE0B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High</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Implement SPF/DKIM/DMARC, phishing awareness training, email filtering</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6. Client relationship / customer database (CRM)</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Data breach / exfiltration</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Database exposed with weak admin credentials, unencrypted at rest</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25</w:t>
            </w:r>
          </w:p>
        </w:tc>
        <w:tc>
          <w:tcPr>
            <w:tcW w:type="dxa" w:w="700"/>
            <w:shd w:fill="F4C7C3"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Critical</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Remove public exposure, encrypt at rest, harden credentials, deploy DB firewall</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7. Office Wi-Fi network</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Unauthorized network access</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Shared WPA2 passphrase, no guest segregation</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9</w:t>
            </w:r>
          </w:p>
        </w:tc>
        <w:tc>
          <w:tcPr>
            <w:tcW w:type="dxa" w:w="700"/>
            <w:shd w:fill="FFF6BF"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Medium</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Migrate to WPA3-Enterprise, separate guest/staff VLANs</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8. VPN remote access gateway</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Credential stuffing / brute force</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No MFA enforced on VPN login</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15</w:t>
            </w:r>
          </w:p>
        </w:tc>
        <w:tc>
          <w:tcPr>
            <w:tcW w:type="dxa" w:w="700"/>
            <w:shd w:fill="FBE0B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High</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Enforce MFA, monitor and alert on anomalous login patterns</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9. HR / payroll system</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Insider data misuse</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Excessive access granted beyond HR staff</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2</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4</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8</w:t>
            </w:r>
          </w:p>
        </w:tc>
        <w:tc>
          <w:tcPr>
            <w:tcW w:type="dxa" w:w="700"/>
            <w:shd w:fill="FFF6BF"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Medium</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Apply strict RBAC, enable access audit logging</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10. Physical office access (badge system)</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Tailgating / unauthorized entry</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No visitor sign-in or CCTV monitoring</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2</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6</w:t>
            </w:r>
          </w:p>
        </w:tc>
        <w:tc>
          <w:tcPr>
            <w:tcW w:type="dxa" w:w="700"/>
            <w:shd w:fill="D9EAD3"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Low</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Enforce visitor log, install CCTV at entry points</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11. Backup storage system</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Ransomware encrypting backups</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Backups stored on same network, no air-gap</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15</w:t>
            </w:r>
          </w:p>
        </w:tc>
        <w:tc>
          <w:tcPr>
            <w:tcW w:type="dxa" w:w="700"/>
            <w:shd w:fill="FBE0B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High</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Maintain offline/immutable backups, test restoration quarterly</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12. Employee mobile devices (BYOD)</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Data leakage via lost/stolen device</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No Mobile Device Management (MDM) enforced</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9</w:t>
            </w:r>
          </w:p>
        </w:tc>
        <w:tc>
          <w:tcPr>
            <w:tcW w:type="dxa" w:w="700"/>
            <w:shd w:fill="FFF6BF"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Medium</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Enroll devices in MDM, enable remote wipe capability</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13. Collaboration tools (chat/video)</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Account takeover</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No SSO or MFA on workspace accounts</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2</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6</w:t>
            </w:r>
          </w:p>
        </w:tc>
        <w:tc>
          <w:tcPr>
            <w:tcW w:type="dxa" w:w="700"/>
            <w:shd w:fill="D9EAD3"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Low</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Enforce SSO with MFA across all workspace accounts</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14. Domain registrar / DNS account</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Domain hijacking</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Single admin credential, no registry lock</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1</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700"/>
            <w:shd w:fill="D9EAD3"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Low</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Enable registry lock, MFA, restrict account access</w:t>
            </w:r>
          </w:p>
        </w:tc>
      </w:tr>
      <w:tr>
        <w:tc>
          <w:tcPr>
            <w:tcW w:type="dxa" w:w="15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15. IT administrator / privileged accounts</w:t>
            </w:r>
          </w:p>
        </w:tc>
        <w:tc>
          <w:tcPr>
            <w:tcW w:type="dxa" w:w="14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Privilege escalation via credential compromise</w:t>
            </w:r>
          </w:p>
        </w:tc>
        <w:tc>
          <w:tcPr>
            <w:tcW w:type="dxa" w:w="19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Shared admin credentials, no PAM solution</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3</w:t>
            </w:r>
          </w:p>
        </w:tc>
        <w:tc>
          <w:tcPr>
            <w:tcW w:type="dxa" w:w="35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5</w:t>
            </w:r>
          </w:p>
        </w:tc>
        <w:tc>
          <w:tcPr>
            <w:tcW w:type="dxa" w:w="500"/>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15</w:t>
            </w:r>
          </w:p>
        </w:tc>
        <w:tc>
          <w:tcPr>
            <w:tcW w:type="dxa" w:w="700"/>
            <w:shd w:fill="FBE0B4" w:val="clear"/>
            <w:tcMar>
              <w:top w:type="dxa" w:w="60"/>
              <w:left w:type="dxa" w:w="80"/>
              <w:bottom w:type="dxa" w:w="60"/>
              <w:right w:type="dxa" w:w="80"/>
            </w:tcMar>
          </w:tcPr>
          <w:p>
            <w:pPr>
              <w:spacing w:line="260" w:lineRule="auto"/>
              <w:jc w:val="center"/>
            </w:pPr>
            <w:r>
              <w:rPr>
                <w:rFonts w:ascii="Times New Roman" w:cs="Times New Roman" w:eastAsia="Times New Roman" w:hAnsi="Times New Roman"/>
                <w:b w:val="false"/>
                <w:bCs w:val="false"/>
                <w:sz w:val="18"/>
                <w:szCs w:val="18"/>
              </w:rPr>
              <w:t xml:space="preserve">High</w:t>
            </w:r>
          </w:p>
        </w:tc>
        <w:tc>
          <w:tcPr>
            <w:tcW w:type="dxa" w:w="2300"/>
            <w:tcMar>
              <w:top w:type="dxa" w:w="60"/>
              <w:left w:type="dxa" w:w="80"/>
              <w:bottom w:type="dxa" w:w="60"/>
              <w:right w:type="dxa" w:w="80"/>
            </w:tcMar>
          </w:tcPr>
          <w:p>
            <w:pPr>
              <w:spacing w:line="260" w:lineRule="auto"/>
              <w:jc w:val="left"/>
            </w:pPr>
            <w:r>
              <w:rPr>
                <w:rFonts w:ascii="Times New Roman" w:cs="Times New Roman" w:eastAsia="Times New Roman" w:hAnsi="Times New Roman"/>
                <w:b w:val="false"/>
                <w:bCs w:val="false"/>
                <w:sz w:val="18"/>
                <w:szCs w:val="18"/>
              </w:rPr>
              <w:t xml:space="preserve">Deploy PAM, enforce unique accounts, just-in-time access</w:t>
            </w:r>
          </w:p>
        </w:tc>
      </w:tr>
    </w:tbl>
    <w:p>
      <w:pPr>
        <w:spacing w:before="160"/>
      </w:pPr>
      <w:r>
        <w:rPr>
          <w:rFonts w:ascii="Times New Roman" w:cs="Times New Roman" w:eastAsia="Times New Roman" w:hAnsi="Times New Roman"/>
          <w:i/>
          <w:iCs/>
          <w:sz w:val="18"/>
          <w:szCs w:val="18"/>
        </w:rPr>
        <w:t xml:space="preserve">L = Likelihood, I = Impact. Table shading reflects risk classification (green = Low, yellow = Medium, orange = High, red = Critical).</w:t>
      </w:r>
    </w:p>
    <w:p>
      <w:pPr>
        <w:pStyle w:val="Heading2"/>
        <w:spacing w:after="160" w:before="260" w:line="360" w:lineRule="auto"/>
      </w:pPr>
      <w:r>
        <w:rPr>
          <w:rFonts w:ascii="Times New Roman" w:cs="Times New Roman" w:eastAsia="Times New Roman" w:hAnsi="Times New Roman"/>
          <w:b/>
          <w:bCs/>
          <w:sz w:val="28"/>
          <w:szCs w:val="28"/>
        </w:rPr>
        <w:t xml:space="preserve">2.3 Likelihood &amp; Impact Rationale</w:t>
      </w:r>
    </w:p>
    <w:p>
      <w:pPr>
        <w:spacing w:after="200" w:line="360" w:lineRule="auto"/>
        <w:jc w:val="both"/>
      </w:pPr>
      <w:r>
        <w:rPr>
          <w:rFonts w:ascii="Times New Roman" w:cs="Times New Roman" w:eastAsia="Times New Roman" w:hAnsi="Times New Roman"/>
          <w:sz w:val="24"/>
          <w:szCs w:val="24"/>
        </w:rPr>
        <w:t xml:space="preserve">Each score in the Risk Register was derived by matching the asset's realistic threat-source and existing controls against the NIST SP 800-30 tier definitions for Likelihood (Table 3-4) and Impact (Table 3-5), then translating the matched tier to the 1–5 numeric scale. This traceable reasoning — rather than an unexplained number — is what makes each score defensible under review.</w:t>
      </w:r>
    </w:p>
    <w:p>
      <w:pPr>
        <w:pStyle w:val="Heading3"/>
        <w:spacing w:after="120" w:before="200" w:line="360" w:lineRule="auto"/>
      </w:pPr>
      <w:r>
        <w:rPr>
          <w:rFonts w:ascii="Times New Roman" w:cs="Times New Roman" w:eastAsia="Times New Roman" w:hAnsi="Times New Roman"/>
          <w:b/>
          <w:bCs/>
          <w:sz w:val="24"/>
          <w:szCs w:val="24"/>
        </w:rPr>
        <w:t xml:space="preserve">1. Developer laptops</w:t>
      </w:r>
    </w:p>
    <w:p>
      <w:pPr>
        <w:spacing w:after="200" w:line="360" w:lineRule="auto"/>
        <w:jc w:val="both"/>
      </w:pPr>
      <w:r>
        <w:rPr>
          <w:rFonts w:ascii="Times New Roman" w:cs="Times New Roman" w:eastAsia="Times New Roman" w:hAnsi="Times New Roman"/>
          <w:sz w:val="24"/>
          <w:szCs w:val="24"/>
        </w:rPr>
        <w:t xml:space="preserve">Likelihood = Medium (3): opportunistic theft/malware, motivation moderate, but no disk encryption means controls don't impede loss once device is gone.</w:t>
      </w:r>
    </w:p>
    <w:p>
      <w:pPr>
        <w:spacing w:after="200" w:line="360" w:lineRule="auto"/>
        <w:jc w:val="both"/>
      </w:pPr>
      <w:r>
        <w:rPr>
          <w:rFonts w:ascii="Times New Roman" w:cs="Times New Roman" w:eastAsia="Times New Roman" w:hAnsi="Times New Roman"/>
          <w:sz w:val="24"/>
          <w:szCs w:val="24"/>
        </w:rPr>
        <w:t xml:space="preserve">Impact = Medium (4): usually one dev's access/credentials exposed, costly to remediate but not company-wide.</w:t>
      </w:r>
    </w:p>
    <w:p>
      <w:pPr>
        <w:pStyle w:val="Heading3"/>
        <w:spacing w:after="120" w:before="200" w:line="360" w:lineRule="auto"/>
      </w:pPr>
      <w:r>
        <w:rPr>
          <w:rFonts w:ascii="Times New Roman" w:cs="Times New Roman" w:eastAsia="Times New Roman" w:hAnsi="Times New Roman"/>
          <w:b/>
          <w:bCs/>
          <w:sz w:val="24"/>
          <w:szCs w:val="24"/>
        </w:rPr>
        <w:t xml:space="preserve">2. Client source code repositories</w:t>
      </w:r>
    </w:p>
    <w:p>
      <w:pPr>
        <w:spacing w:after="200" w:line="360" w:lineRule="auto"/>
        <w:jc w:val="both"/>
      </w:pPr>
      <w:r>
        <w:rPr>
          <w:rFonts w:ascii="Times New Roman" w:cs="Times New Roman" w:eastAsia="Times New Roman" w:hAnsi="Times New Roman"/>
          <w:sz w:val="24"/>
          <w:szCs w:val="24"/>
        </w:rPr>
        <w:t xml:space="preserve">Likelihood = Medium (3): IP has resale/competitive value, but repo login exists even though branch protection is missing.</w:t>
      </w:r>
    </w:p>
    <w:p>
      <w:pPr>
        <w:spacing w:after="200" w:line="360" w:lineRule="auto"/>
        <w:jc w:val="both"/>
      </w:pPr>
      <w:r>
        <w:rPr>
          <w:rFonts w:ascii="Times New Roman" w:cs="Times New Roman" w:eastAsia="Times New Roman" w:hAnsi="Times New Roman"/>
          <w:sz w:val="24"/>
          <w:szCs w:val="24"/>
        </w:rPr>
        <w:t xml:space="preserve">Impact = High (5): leaked source code creates contractual liability and reputational harm central to the business.</w:t>
      </w:r>
    </w:p>
    <w:p>
      <w:pPr>
        <w:pStyle w:val="Heading3"/>
        <w:spacing w:after="120" w:before="200" w:line="360" w:lineRule="auto"/>
      </w:pPr>
      <w:r>
        <w:rPr>
          <w:rFonts w:ascii="Times New Roman" w:cs="Times New Roman" w:eastAsia="Times New Roman" w:hAnsi="Times New Roman"/>
          <w:b/>
          <w:bCs/>
          <w:sz w:val="24"/>
          <w:szCs w:val="24"/>
        </w:rPr>
        <w:t xml:space="preserve">3. CI/CD pipeline server</w:t>
      </w:r>
    </w:p>
    <w:p>
      <w:pPr>
        <w:spacing w:after="200" w:line="360" w:lineRule="auto"/>
        <w:jc w:val="both"/>
      </w:pPr>
      <w:r>
        <w:rPr>
          <w:rFonts w:ascii="Times New Roman" w:cs="Times New Roman" w:eastAsia="Times New Roman" w:hAnsi="Times New Roman"/>
          <w:sz w:val="24"/>
          <w:szCs w:val="24"/>
        </w:rPr>
        <w:t xml:space="preserve">Likelihood = High (4): outdated software + hardcoded secrets means a moderately skilled attacker can succeed; controls are explicitly ineffective.</w:t>
      </w:r>
    </w:p>
    <w:p>
      <w:pPr>
        <w:spacing w:after="200" w:line="360" w:lineRule="auto"/>
        <w:jc w:val="both"/>
      </w:pPr>
      <w:r>
        <w:rPr>
          <w:rFonts w:ascii="Times New Roman" w:cs="Times New Roman" w:eastAsia="Times New Roman" w:hAnsi="Times New Roman"/>
          <w:sz w:val="24"/>
          <w:szCs w:val="24"/>
        </w:rPr>
        <w:t xml:space="preserve">Impact = High (5): a supply-chain compromise here can affect every client relying on builds from this pipeline.</w:t>
      </w:r>
    </w:p>
    <w:p>
      <w:pPr>
        <w:pStyle w:val="Heading3"/>
        <w:spacing w:after="120" w:before="200" w:line="360" w:lineRule="auto"/>
      </w:pPr>
      <w:r>
        <w:rPr>
          <w:rFonts w:ascii="Times New Roman" w:cs="Times New Roman" w:eastAsia="Times New Roman" w:hAnsi="Times New Roman"/>
          <w:b/>
          <w:bCs/>
          <w:sz w:val="24"/>
          <w:szCs w:val="24"/>
        </w:rPr>
        <w:t xml:space="preserve">4. Cloud development environment</w:t>
      </w:r>
    </w:p>
    <w:p>
      <w:pPr>
        <w:spacing w:after="200" w:line="360" w:lineRule="auto"/>
        <w:jc w:val="both"/>
      </w:pPr>
      <w:r>
        <w:rPr>
          <w:rFonts w:ascii="Times New Roman" w:cs="Times New Roman" w:eastAsia="Times New Roman" w:hAnsi="Times New Roman"/>
          <w:sz w:val="24"/>
          <w:szCs w:val="24"/>
        </w:rPr>
        <w:t xml:space="preserve">Likelihood = High (4): automated internet scanners actively probe for exposed cloud misconfigurations — no targeted skill required.</w:t>
      </w:r>
    </w:p>
    <w:p>
      <w:pPr>
        <w:spacing w:after="200" w:line="360" w:lineRule="auto"/>
        <w:jc w:val="both"/>
      </w:pPr>
      <w:r>
        <w:rPr>
          <w:rFonts w:ascii="Times New Roman" w:cs="Times New Roman" w:eastAsia="Times New Roman" w:hAnsi="Times New Roman"/>
          <w:sz w:val="24"/>
          <w:szCs w:val="24"/>
        </w:rPr>
        <w:t xml:space="preserve">Impact = High (5): exposure can cascade into client cloud resources and secrets.</w:t>
      </w:r>
    </w:p>
    <w:p>
      <w:pPr>
        <w:pStyle w:val="Heading3"/>
        <w:spacing w:after="120" w:before="200" w:line="360" w:lineRule="auto"/>
      </w:pPr>
      <w:r>
        <w:rPr>
          <w:rFonts w:ascii="Times New Roman" w:cs="Times New Roman" w:eastAsia="Times New Roman" w:hAnsi="Times New Roman"/>
          <w:b/>
          <w:bCs/>
          <w:sz w:val="24"/>
          <w:szCs w:val="24"/>
        </w:rPr>
        <w:t xml:space="preserve">5. Employee email system</w:t>
      </w:r>
    </w:p>
    <w:p>
      <w:pPr>
        <w:spacing w:after="200" w:line="360" w:lineRule="auto"/>
        <w:jc w:val="both"/>
      </w:pPr>
      <w:r>
        <w:rPr>
          <w:rFonts w:ascii="Times New Roman" w:cs="Times New Roman" w:eastAsia="Times New Roman" w:hAnsi="Times New Roman"/>
          <w:sz w:val="24"/>
          <w:szCs w:val="24"/>
        </w:rPr>
        <w:t xml:space="preserve">Likelihood = High (5): phishing is the most common attack vector globally; zero email-auth controls filter almost nothing.</w:t>
      </w:r>
    </w:p>
    <w:p>
      <w:pPr>
        <w:spacing w:after="200" w:line="360" w:lineRule="auto"/>
        <w:jc w:val="both"/>
      </w:pPr>
      <w:r>
        <w:rPr>
          <w:rFonts w:ascii="Times New Roman" w:cs="Times New Roman" w:eastAsia="Times New Roman" w:hAnsi="Times New Roman"/>
          <w:sz w:val="24"/>
          <w:szCs w:val="24"/>
        </w:rPr>
        <w:t xml:space="preserve">Impact = Medium (4): business email compromise is serious but generally recoverable, not existential.</w:t>
      </w:r>
    </w:p>
    <w:p>
      <w:pPr>
        <w:pStyle w:val="Heading3"/>
        <w:spacing w:after="120" w:before="200" w:line="360" w:lineRule="auto"/>
      </w:pPr>
      <w:r>
        <w:rPr>
          <w:rFonts w:ascii="Times New Roman" w:cs="Times New Roman" w:eastAsia="Times New Roman" w:hAnsi="Times New Roman"/>
          <w:b/>
          <w:bCs/>
          <w:sz w:val="24"/>
          <w:szCs w:val="24"/>
        </w:rPr>
        <w:t xml:space="preserve">6. Client relationship / customer database (CRM)</w:t>
      </w:r>
    </w:p>
    <w:p>
      <w:pPr>
        <w:spacing w:after="200" w:line="360" w:lineRule="auto"/>
        <w:jc w:val="both"/>
      </w:pPr>
      <w:r>
        <w:rPr>
          <w:rFonts w:ascii="Times New Roman" w:cs="Times New Roman" w:eastAsia="Times New Roman" w:hAnsi="Times New Roman"/>
          <w:sz w:val="24"/>
          <w:szCs w:val="24"/>
        </w:rPr>
        <w:t xml:space="preserve">Likelihood = High (5): publicly exposed databases are actively targeted by automated scanning tools regardless of attacker skill.</w:t>
      </w:r>
    </w:p>
    <w:p>
      <w:pPr>
        <w:spacing w:after="200" w:line="360" w:lineRule="auto"/>
        <w:jc w:val="both"/>
      </w:pPr>
      <w:r>
        <w:rPr>
          <w:rFonts w:ascii="Times New Roman" w:cs="Times New Roman" w:eastAsia="Times New Roman" w:hAnsi="Times New Roman"/>
          <w:sz w:val="24"/>
          <w:szCs w:val="24"/>
        </w:rPr>
        <w:t xml:space="preserve">Impact = High (5): breach exposes client contract/contact data central to business trust.</w:t>
      </w:r>
    </w:p>
    <w:p>
      <w:pPr>
        <w:pStyle w:val="Heading3"/>
        <w:spacing w:after="120" w:before="200" w:line="360" w:lineRule="auto"/>
      </w:pPr>
      <w:r>
        <w:rPr>
          <w:rFonts w:ascii="Times New Roman" w:cs="Times New Roman" w:eastAsia="Times New Roman" w:hAnsi="Times New Roman"/>
          <w:b/>
          <w:bCs/>
          <w:sz w:val="24"/>
          <w:szCs w:val="24"/>
        </w:rPr>
        <w:t xml:space="preserve">7. Office Wi-Fi network</w:t>
      </w:r>
    </w:p>
    <w:p>
      <w:pPr>
        <w:spacing w:after="200" w:line="360" w:lineRule="auto"/>
        <w:jc w:val="both"/>
      </w:pPr>
      <w:r>
        <w:rPr>
          <w:rFonts w:ascii="Times New Roman" w:cs="Times New Roman" w:eastAsia="Times New Roman" w:hAnsi="Times New Roman"/>
          <w:sz w:val="24"/>
          <w:szCs w:val="24"/>
        </w:rPr>
        <w:t xml:space="preserve">Likelihood = Medium (3): requires physical proximity (real constraint); WPA2 auth is a weak but real barrier.</w:t>
      </w:r>
    </w:p>
    <w:p>
      <w:pPr>
        <w:spacing w:after="200" w:line="360" w:lineRule="auto"/>
        <w:jc w:val="both"/>
      </w:pPr>
      <w:r>
        <w:rPr>
          <w:rFonts w:ascii="Times New Roman" w:cs="Times New Roman" w:eastAsia="Times New Roman" w:hAnsi="Times New Roman"/>
          <w:sz w:val="24"/>
          <w:szCs w:val="24"/>
        </w:rPr>
        <w:t xml:space="preserve">Impact = Medium (3): grants network access but is not itself a data store.</w:t>
      </w:r>
    </w:p>
    <w:p>
      <w:pPr>
        <w:pStyle w:val="Heading3"/>
        <w:spacing w:after="120" w:before="200" w:line="360" w:lineRule="auto"/>
      </w:pPr>
      <w:r>
        <w:rPr>
          <w:rFonts w:ascii="Times New Roman" w:cs="Times New Roman" w:eastAsia="Times New Roman" w:hAnsi="Times New Roman"/>
          <w:b/>
          <w:bCs/>
          <w:sz w:val="24"/>
          <w:szCs w:val="24"/>
        </w:rPr>
        <w:t xml:space="preserve">8. VPN remote access gateway</w:t>
      </w:r>
    </w:p>
    <w:p>
      <w:pPr>
        <w:spacing w:after="200" w:line="360" w:lineRule="auto"/>
        <w:jc w:val="both"/>
      </w:pPr>
      <w:r>
        <w:rPr>
          <w:rFonts w:ascii="Times New Roman" w:cs="Times New Roman" w:eastAsia="Times New Roman" w:hAnsi="Times New Roman"/>
          <w:sz w:val="24"/>
          <w:szCs w:val="24"/>
        </w:rPr>
        <w:t xml:space="preserve">Likelihood = Medium (3): credential stuffing is automated and common but still requires a matching valid credential.</w:t>
      </w:r>
    </w:p>
    <w:p>
      <w:pPr>
        <w:spacing w:after="200" w:line="360" w:lineRule="auto"/>
        <w:jc w:val="both"/>
      </w:pPr>
      <w:r>
        <w:rPr>
          <w:rFonts w:ascii="Times New Roman" w:cs="Times New Roman" w:eastAsia="Times New Roman" w:hAnsi="Times New Roman"/>
          <w:sz w:val="24"/>
          <w:szCs w:val="24"/>
        </w:rPr>
        <w:t xml:space="preserve">Impact = High (5): success grants full internal network access.</w:t>
      </w:r>
    </w:p>
    <w:p>
      <w:pPr>
        <w:pStyle w:val="Heading3"/>
        <w:spacing w:after="120" w:before="200" w:line="360" w:lineRule="auto"/>
      </w:pPr>
      <w:r>
        <w:rPr>
          <w:rFonts w:ascii="Times New Roman" w:cs="Times New Roman" w:eastAsia="Times New Roman" w:hAnsi="Times New Roman"/>
          <w:b/>
          <w:bCs/>
          <w:sz w:val="24"/>
          <w:szCs w:val="24"/>
        </w:rPr>
        <w:t xml:space="preserve">9. HR / payroll system</w:t>
      </w:r>
    </w:p>
    <w:p>
      <w:pPr>
        <w:spacing w:after="200" w:line="360" w:lineRule="auto"/>
        <w:jc w:val="both"/>
      </w:pPr>
      <w:r>
        <w:rPr>
          <w:rFonts w:ascii="Times New Roman" w:cs="Times New Roman" w:eastAsia="Times New Roman" w:hAnsi="Times New Roman"/>
          <w:sz w:val="24"/>
          <w:szCs w:val="24"/>
        </w:rPr>
        <w:t xml:space="preserve">Likelihood = Low (2): insider risk is largely opportunistic, not malicious, and some access control exists despite being excessive.</w:t>
      </w:r>
    </w:p>
    <w:p>
      <w:pPr>
        <w:spacing w:after="200" w:line="360" w:lineRule="auto"/>
        <w:jc w:val="both"/>
      </w:pPr>
      <w:r>
        <w:rPr>
          <w:rFonts w:ascii="Times New Roman" w:cs="Times New Roman" w:eastAsia="Times New Roman" w:hAnsi="Times New Roman"/>
          <w:sz w:val="24"/>
          <w:szCs w:val="24"/>
        </w:rPr>
        <w:t xml:space="preserve">Impact = Medium (4): legally/financially serious but contained internally.</w:t>
      </w:r>
    </w:p>
    <w:p>
      <w:pPr>
        <w:pStyle w:val="Heading3"/>
        <w:spacing w:after="120" w:before="200" w:line="360" w:lineRule="auto"/>
      </w:pPr>
      <w:r>
        <w:rPr>
          <w:rFonts w:ascii="Times New Roman" w:cs="Times New Roman" w:eastAsia="Times New Roman" w:hAnsi="Times New Roman"/>
          <w:b/>
          <w:bCs/>
          <w:sz w:val="24"/>
          <w:szCs w:val="24"/>
        </w:rPr>
        <w:t xml:space="preserve">10. Physical office access (badge system)</w:t>
      </w:r>
    </w:p>
    <w:p>
      <w:pPr>
        <w:spacing w:after="200" w:line="360" w:lineRule="auto"/>
        <w:jc w:val="both"/>
      </w:pPr>
      <w:r>
        <w:rPr>
          <w:rFonts w:ascii="Times New Roman" w:cs="Times New Roman" w:eastAsia="Times New Roman" w:hAnsi="Times New Roman"/>
          <w:sz w:val="24"/>
          <w:szCs w:val="24"/>
        </w:rPr>
        <w:t xml:space="preserve">Likelihood = Low (2): no obvious high-value physical target for a software consultancy; badge system still impedes casual entry.</w:t>
      </w:r>
    </w:p>
    <w:p>
      <w:pPr>
        <w:spacing w:after="200" w:line="360" w:lineRule="auto"/>
        <w:jc w:val="both"/>
      </w:pPr>
      <w:r>
        <w:rPr>
          <w:rFonts w:ascii="Times New Roman" w:cs="Times New Roman" w:eastAsia="Times New Roman" w:hAnsi="Times New Roman"/>
          <w:sz w:val="24"/>
          <w:szCs w:val="24"/>
        </w:rPr>
        <w:t xml:space="preserve">Impact = Medium (3): a stolen unlocked laptop on-site is a plausible, non-trivial scenario.</w:t>
      </w:r>
    </w:p>
    <w:p>
      <w:pPr>
        <w:pStyle w:val="Heading3"/>
        <w:spacing w:after="120" w:before="200" w:line="360" w:lineRule="auto"/>
      </w:pPr>
      <w:r>
        <w:rPr>
          <w:rFonts w:ascii="Times New Roman" w:cs="Times New Roman" w:eastAsia="Times New Roman" w:hAnsi="Times New Roman"/>
          <w:b/>
          <w:bCs/>
          <w:sz w:val="24"/>
          <w:szCs w:val="24"/>
        </w:rPr>
        <w:t xml:space="preserve">11. Backup storage system</w:t>
      </w:r>
    </w:p>
    <w:p>
      <w:pPr>
        <w:spacing w:after="200" w:line="360" w:lineRule="auto"/>
        <w:jc w:val="both"/>
      </w:pPr>
      <w:r>
        <w:rPr>
          <w:rFonts w:ascii="Times New Roman" w:cs="Times New Roman" w:eastAsia="Times New Roman" w:hAnsi="Times New Roman"/>
          <w:sz w:val="24"/>
          <w:szCs w:val="24"/>
        </w:rPr>
        <w:t xml:space="preserve">Likelihood = Medium (3): requires ransomware to already be present on the network — a conditional, not direct, path.</w:t>
      </w:r>
    </w:p>
    <w:p>
      <w:pPr>
        <w:spacing w:after="200" w:line="360" w:lineRule="auto"/>
        <w:jc w:val="both"/>
      </w:pPr>
      <w:r>
        <w:rPr>
          <w:rFonts w:ascii="Times New Roman" w:cs="Times New Roman" w:eastAsia="Times New Roman" w:hAnsi="Times New Roman"/>
          <w:sz w:val="24"/>
          <w:szCs w:val="24"/>
        </w:rPr>
        <w:t xml:space="preserve">Impact = High (5): no air-gap means a successful hit removes the recovery path entirely.</w:t>
      </w:r>
    </w:p>
    <w:p>
      <w:pPr>
        <w:pStyle w:val="Heading3"/>
        <w:spacing w:after="120" w:before="200" w:line="360" w:lineRule="auto"/>
      </w:pPr>
      <w:r>
        <w:rPr>
          <w:rFonts w:ascii="Times New Roman" w:cs="Times New Roman" w:eastAsia="Times New Roman" w:hAnsi="Times New Roman"/>
          <w:b/>
          <w:bCs/>
          <w:sz w:val="24"/>
          <w:szCs w:val="24"/>
        </w:rPr>
        <w:t xml:space="preserve">12. Employee mobile devices (BYOD)</w:t>
      </w:r>
    </w:p>
    <w:p>
      <w:pPr>
        <w:spacing w:after="200" w:line="360" w:lineRule="auto"/>
        <w:jc w:val="both"/>
      </w:pPr>
      <w:r>
        <w:rPr>
          <w:rFonts w:ascii="Times New Roman" w:cs="Times New Roman" w:eastAsia="Times New Roman" w:hAnsi="Times New Roman"/>
          <w:sz w:val="24"/>
          <w:szCs w:val="24"/>
        </w:rPr>
        <w:t xml:space="preserve">Likelihood = Medium (3): opportunistic loss/theft, low deliberate targeting.</w:t>
      </w:r>
    </w:p>
    <w:p>
      <w:pPr>
        <w:spacing w:after="200" w:line="360" w:lineRule="auto"/>
        <w:jc w:val="both"/>
      </w:pPr>
      <w:r>
        <w:rPr>
          <w:rFonts w:ascii="Times New Roman" w:cs="Times New Roman" w:eastAsia="Times New Roman" w:hAnsi="Times New Roman"/>
          <w:sz w:val="24"/>
          <w:szCs w:val="24"/>
        </w:rPr>
        <w:t xml:space="preserve">Impact = Medium (3): typically limited to email/chat access, not core systems.</w:t>
      </w:r>
    </w:p>
    <w:p>
      <w:pPr>
        <w:pStyle w:val="Heading3"/>
        <w:spacing w:after="120" w:before="200" w:line="360" w:lineRule="auto"/>
      </w:pPr>
      <w:r>
        <w:rPr>
          <w:rFonts w:ascii="Times New Roman" w:cs="Times New Roman" w:eastAsia="Times New Roman" w:hAnsi="Times New Roman"/>
          <w:b/>
          <w:bCs/>
          <w:sz w:val="24"/>
          <w:szCs w:val="24"/>
        </w:rPr>
        <w:t xml:space="preserve">13. Collaboration tools (chat/video)</w:t>
      </w:r>
    </w:p>
    <w:p>
      <w:pPr>
        <w:spacing w:after="200" w:line="360" w:lineRule="auto"/>
        <w:jc w:val="both"/>
      </w:pPr>
      <w:r>
        <w:rPr>
          <w:rFonts w:ascii="Times New Roman" w:cs="Times New Roman" w:eastAsia="Times New Roman" w:hAnsi="Times New Roman"/>
          <w:sz w:val="24"/>
          <w:szCs w:val="24"/>
        </w:rPr>
        <w:t xml:space="preserve">Likelihood = Low (2): lower-value target relative to other assets; login is still a barrier despite lacking SSO/MFA.</w:t>
      </w:r>
    </w:p>
    <w:p>
      <w:pPr>
        <w:spacing w:after="200" w:line="360" w:lineRule="auto"/>
        <w:jc w:val="both"/>
      </w:pPr>
      <w:r>
        <w:rPr>
          <w:rFonts w:ascii="Times New Roman" w:cs="Times New Roman" w:eastAsia="Times New Roman" w:hAnsi="Times New Roman"/>
          <w:sz w:val="24"/>
          <w:szCs w:val="24"/>
        </w:rPr>
        <w:t xml:space="preserve">Impact = Low (3): exposure is limited to internal chat/meeting content.</w:t>
      </w:r>
    </w:p>
    <w:p>
      <w:pPr>
        <w:pStyle w:val="Heading3"/>
        <w:spacing w:after="120" w:before="200" w:line="360" w:lineRule="auto"/>
      </w:pPr>
      <w:r>
        <w:rPr>
          <w:rFonts w:ascii="Times New Roman" w:cs="Times New Roman" w:eastAsia="Times New Roman" w:hAnsi="Times New Roman"/>
          <w:b/>
          <w:bCs/>
          <w:sz w:val="24"/>
          <w:szCs w:val="24"/>
        </w:rPr>
        <w:t xml:space="preserve">14. Domain registrar / DNS account</w:t>
      </w:r>
    </w:p>
    <w:p>
      <w:pPr>
        <w:spacing w:after="200" w:line="360" w:lineRule="auto"/>
        <w:jc w:val="both"/>
      </w:pPr>
      <w:r>
        <w:rPr>
          <w:rFonts w:ascii="Times New Roman" w:cs="Times New Roman" w:eastAsia="Times New Roman" w:hAnsi="Times New Roman"/>
          <w:sz w:val="24"/>
          <w:szCs w:val="24"/>
        </w:rPr>
        <w:t xml:space="preserve">Likelihood = Low (1): requires a specific, deliberate attacker interest — comparatively rare.</w:t>
      </w:r>
    </w:p>
    <w:p>
      <w:pPr>
        <w:spacing w:after="200" w:line="360" w:lineRule="auto"/>
        <w:jc w:val="both"/>
      </w:pPr>
      <w:r>
        <w:rPr>
          <w:rFonts w:ascii="Times New Roman" w:cs="Times New Roman" w:eastAsia="Times New Roman" w:hAnsi="Times New Roman"/>
          <w:sz w:val="24"/>
          <w:szCs w:val="24"/>
        </w:rPr>
        <w:t xml:space="preserve">Impact = High (5): a hijack causes total outage and enables spoofing/phishing under the company domain.</w:t>
      </w:r>
    </w:p>
    <w:p>
      <w:pPr>
        <w:pStyle w:val="Heading3"/>
        <w:spacing w:after="120" w:before="200" w:line="360" w:lineRule="auto"/>
      </w:pPr>
      <w:r>
        <w:rPr>
          <w:rFonts w:ascii="Times New Roman" w:cs="Times New Roman" w:eastAsia="Times New Roman" w:hAnsi="Times New Roman"/>
          <w:b/>
          <w:bCs/>
          <w:sz w:val="24"/>
          <w:szCs w:val="24"/>
        </w:rPr>
        <w:t xml:space="preserve">15. IT administrator / privileged accounts</w:t>
      </w:r>
    </w:p>
    <w:p>
      <w:pPr>
        <w:spacing w:after="200" w:line="360" w:lineRule="auto"/>
        <w:jc w:val="both"/>
      </w:pPr>
      <w:r>
        <w:rPr>
          <w:rFonts w:ascii="Times New Roman" w:cs="Times New Roman" w:eastAsia="Times New Roman" w:hAnsi="Times New Roman"/>
          <w:sz w:val="24"/>
          <w:szCs w:val="24"/>
        </w:rPr>
        <w:t xml:space="preserve">Likelihood = Medium (3): requires an initial foothold first, but is a highly attractive target once an attacker is inside.</w:t>
      </w:r>
    </w:p>
    <w:p>
      <w:pPr>
        <w:spacing w:after="200" w:line="360" w:lineRule="auto"/>
        <w:jc w:val="both"/>
      </w:pPr>
      <w:r>
        <w:rPr>
          <w:rFonts w:ascii="Times New Roman" w:cs="Times New Roman" w:eastAsia="Times New Roman" w:hAnsi="Times New Roman"/>
          <w:sz w:val="24"/>
          <w:szCs w:val="24"/>
        </w:rPr>
        <w:t xml:space="preserve">Impact = High (5): compromise grants full administrative control across systems.</w:t>
      </w:r>
    </w:p>
    <w:p>
      <w:pPr>
        <w:pStyle w:val="Heading2"/>
        <w:spacing w:after="160" w:before="260" w:line="360" w:lineRule="auto"/>
      </w:pPr>
      <w:r>
        <w:rPr>
          <w:rFonts w:ascii="Times New Roman" w:cs="Times New Roman" w:eastAsia="Times New Roman" w:hAnsi="Times New Roman"/>
          <w:b/>
          <w:bCs/>
          <w:sz w:val="28"/>
          <w:szCs w:val="28"/>
        </w:rPr>
        <w:t xml:space="preserve">2.4 Summary of Findings</w:t>
      </w:r>
    </w:p>
    <w:p>
      <w:pPr>
        <w:spacing w:after="160" w:line="360" w:lineRule="auto"/>
        <w:jc w:val="both"/>
      </w:pPr>
      <w:r>
        <w:rPr>
          <w:rFonts w:ascii="Times New Roman" w:cs="Times New Roman" w:eastAsia="Times New Roman" w:hAnsi="Times New Roman"/>
          <w:b/>
          <w:bCs/>
          <w:sz w:val="24"/>
          <w:szCs w:val="24"/>
        </w:rPr>
        <w:t xml:space="preserve">2.4.1  </w:t>
      </w:r>
      <w:r>
        <w:rPr>
          <w:rFonts w:ascii="Times New Roman" w:cs="Times New Roman" w:eastAsia="Times New Roman" w:hAnsi="Times New Roman"/>
          <w:sz w:val="24"/>
          <w:szCs w:val="24"/>
        </w:rPr>
        <w:t xml:space="preserve">Of the 15 assets assessed, 1 was classified Critical, 5 High, 5 Medium, and 4 Low. The single Critical finding — the client relationship database — reflects the combination of high-value data (client contact and contract information) with a currently weak security posture, and should be prioritized for immediate remediation.</w:t>
      </w:r>
    </w:p>
    <w:p>
      <w:pPr>
        <w:spacing w:after="160" w:line="360" w:lineRule="auto"/>
        <w:jc w:val="both"/>
      </w:pPr>
      <w:r>
        <w:rPr>
          <w:rFonts w:ascii="Times New Roman" w:cs="Times New Roman" w:eastAsia="Times New Roman" w:hAnsi="Times New Roman"/>
          <w:b/>
          <w:bCs/>
          <w:sz w:val="24"/>
          <w:szCs w:val="24"/>
        </w:rPr>
        <w:t xml:space="preserve">2.4.2  </w:t>
      </w:r>
      <w:r>
        <w:rPr>
          <w:rFonts w:ascii="Times New Roman" w:cs="Times New Roman" w:eastAsia="Times New Roman" w:hAnsi="Times New Roman"/>
          <w:sz w:val="24"/>
          <w:szCs w:val="24"/>
        </w:rPr>
        <w:t xml:space="preserve">A recurring theme across High-rated risks is the absence of Multi-Factor Authentication on sensitive systems (VPN gateway, email, backup access indirectly via admin accounts) and the lack of a centralized secrets/credential management solution across development infrastructure (CI/CD pipeline, cloud environment, privileged accounts).</w:t>
      </w:r>
    </w:p>
    <w:p>
      <w:pPr>
        <w:spacing w:after="160" w:line="360" w:lineRule="auto"/>
        <w:jc w:val="both"/>
      </w:pPr>
      <w:r>
        <w:rPr>
          <w:rFonts w:ascii="Times New Roman" w:cs="Times New Roman" w:eastAsia="Times New Roman" w:hAnsi="Times New Roman"/>
          <w:b/>
          <w:bCs/>
          <w:sz w:val="24"/>
          <w:szCs w:val="24"/>
        </w:rPr>
        <w:t xml:space="preserve">2.4.3  </w:t>
      </w:r>
      <w:r>
        <w:rPr>
          <w:rFonts w:ascii="Times New Roman" w:cs="Times New Roman" w:eastAsia="Times New Roman" w:hAnsi="Times New Roman"/>
          <w:sz w:val="24"/>
          <w:szCs w:val="24"/>
        </w:rPr>
        <w:t xml:space="preserve">It is recommended that Nexora prioritize remediation in the following order: (1) secure the client database, (2) enforce MFA universally across privileged and remote-access systems, (3) implement a Privileged Access Management (PAM) solution, and (4) establish immutable, air-gapped backups.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Security Policy &amp;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2026-07-22T07:57:25.840Z</dcterms:created>
  <dcterms:modified xsi:type="dcterms:W3CDTF">2026-07-22T07:57:25.853Z</dcterms:modified>
</cp:coreProperties>
</file>

<file path=docProps/custom.xml><?xml version="1.0" encoding="utf-8"?>
<Properties xmlns="http://schemas.openxmlformats.org/officeDocument/2006/custom-properties" xmlns:vt="http://schemas.openxmlformats.org/officeDocument/2006/docPropsVTypes"/>
</file>