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b/>
          <w:bCs/>
          <w:sz w:val="52"/>
          <w:szCs w:val="52"/>
          <w:lang w:val="en-US" w:eastAsia="zh-CN"/>
        </w:rPr>
      </w:pPr>
      <w:r>
        <w:rPr>
          <w:rFonts w:hint="eastAsia"/>
          <w:b/>
          <w:bCs/>
          <w:sz w:val="52"/>
          <w:szCs w:val="52"/>
          <w:lang w:val="en-US" w:eastAsia="zh-CN"/>
        </w:rPr>
        <w:t>固定资产管理平台</w:t>
      </w:r>
    </w:p>
    <w:p>
      <w:pPr>
        <w:pStyle w:val="2"/>
        <w:bidi w:val="0"/>
        <w:ind w:left="432" w:leftChars="0" w:hanging="432" w:firstLineChars="0"/>
        <w:rPr>
          <w:rFonts w:hint="eastAsia"/>
          <w:lang w:val="en-US" w:eastAsia="zh-CN"/>
        </w:rPr>
      </w:pPr>
      <w:r>
        <w:rPr>
          <w:rFonts w:hint="eastAsia"/>
          <w:lang w:val="en-US" w:eastAsia="zh-CN"/>
        </w:rPr>
        <w:t>平台定位</w:t>
      </w:r>
    </w:p>
    <w:p>
      <w:pPr>
        <w:rPr>
          <w:rFonts w:hint="default"/>
          <w:lang w:val="en-US" w:eastAsia="zh-CN"/>
        </w:rPr>
      </w:pPr>
      <w:r>
        <w:rPr>
          <w:rFonts w:hint="eastAsia"/>
          <w:lang w:val="en-US" w:eastAsia="zh-CN"/>
        </w:rPr>
        <w:t>本平台可对中小型企事业内部的固定资产和日常耗材进行全生命周期管理。</w:t>
      </w:r>
    </w:p>
    <w:p>
      <w:pPr>
        <w:pStyle w:val="2"/>
        <w:bidi w:val="0"/>
        <w:ind w:left="432" w:leftChars="0" w:hanging="432" w:firstLineChars="0"/>
        <w:rPr>
          <w:rFonts w:hint="eastAsia"/>
          <w:lang w:val="en-US" w:eastAsia="zh-CN"/>
        </w:rPr>
      </w:pPr>
      <w:r>
        <w:rPr>
          <w:rFonts w:hint="eastAsia"/>
          <w:lang w:val="en-US" w:eastAsia="zh-CN"/>
        </w:rPr>
        <w:t>平台特色</w:t>
      </w:r>
    </w:p>
    <w:p>
      <w:pPr>
        <w:pStyle w:val="3"/>
        <w:bidi w:val="0"/>
        <w:rPr>
          <w:rFonts w:hint="eastAsia"/>
          <w:lang w:val="en-US" w:eastAsia="zh-CN"/>
        </w:rPr>
      </w:pPr>
      <w:r>
        <w:rPr>
          <w:rFonts w:hint="eastAsia"/>
          <w:lang w:val="en-US" w:eastAsia="zh-CN"/>
        </w:rPr>
        <w:t>功能特色</w:t>
      </w:r>
    </w:p>
    <w:p>
      <w:pPr>
        <w:numPr>
          <w:ilvl w:val="0"/>
          <w:numId w:val="2"/>
        </w:numPr>
        <w:ind w:left="420" w:leftChars="0" w:hanging="420" w:firstLineChars="0"/>
        <w:rPr>
          <w:rFonts w:hint="eastAsia"/>
          <w:lang w:val="en-US" w:eastAsia="zh-CN"/>
        </w:rPr>
      </w:pPr>
      <w:r>
        <w:rPr>
          <w:rFonts w:hint="eastAsia"/>
          <w:lang w:val="en-US" w:eastAsia="zh-CN"/>
        </w:rPr>
        <w:t>自定义资产分类</w:t>
      </w:r>
    </w:p>
    <w:p>
      <w:pPr>
        <w:numPr>
          <w:ilvl w:val="0"/>
          <w:numId w:val="2"/>
        </w:numPr>
        <w:ind w:left="420" w:leftChars="0" w:hanging="420" w:firstLineChars="0"/>
        <w:rPr>
          <w:rFonts w:hint="eastAsia"/>
          <w:lang w:val="en-US" w:eastAsia="zh-CN"/>
        </w:rPr>
      </w:pPr>
      <w:r>
        <w:rPr>
          <w:rFonts w:hint="eastAsia"/>
          <w:lang w:val="en-US" w:eastAsia="zh-CN"/>
        </w:rPr>
        <w:t>在线自主申请采购</w:t>
      </w:r>
    </w:p>
    <w:p>
      <w:pPr>
        <w:numPr>
          <w:ilvl w:val="0"/>
          <w:numId w:val="2"/>
        </w:numPr>
        <w:ind w:left="420" w:leftChars="0" w:hanging="420" w:firstLineChars="0"/>
        <w:rPr>
          <w:rFonts w:hint="eastAsia"/>
          <w:lang w:val="en-US" w:eastAsia="zh-CN"/>
        </w:rPr>
      </w:pPr>
      <w:r>
        <w:rPr>
          <w:rFonts w:hint="eastAsia"/>
          <w:lang w:val="en-US" w:eastAsia="zh-CN"/>
        </w:rPr>
        <w:t>在线审批和采购入库</w:t>
      </w:r>
    </w:p>
    <w:p>
      <w:pPr>
        <w:numPr>
          <w:ilvl w:val="0"/>
          <w:numId w:val="2"/>
        </w:numPr>
        <w:ind w:left="420" w:leftChars="0" w:hanging="420" w:firstLineChars="0"/>
        <w:rPr>
          <w:rFonts w:hint="eastAsia"/>
          <w:lang w:val="en-US" w:eastAsia="zh-CN"/>
        </w:rPr>
      </w:pPr>
      <w:r>
        <w:rPr>
          <w:rFonts w:hint="eastAsia"/>
          <w:lang w:val="en-US" w:eastAsia="zh-CN"/>
        </w:rPr>
        <w:t>资产使用、维修、报废全记录</w:t>
      </w:r>
    </w:p>
    <w:p>
      <w:pPr>
        <w:numPr>
          <w:ilvl w:val="0"/>
          <w:numId w:val="2"/>
        </w:numPr>
        <w:ind w:left="420" w:leftChars="0" w:hanging="420" w:firstLineChars="0"/>
        <w:rPr>
          <w:rFonts w:hint="default"/>
          <w:lang w:val="en-US" w:eastAsia="zh-CN"/>
        </w:rPr>
      </w:pPr>
      <w:r>
        <w:rPr>
          <w:rFonts w:hint="eastAsia"/>
          <w:lang w:val="en-US" w:eastAsia="zh-CN"/>
        </w:rPr>
        <w:t>耗材领用全记录</w:t>
      </w:r>
    </w:p>
    <w:p>
      <w:pPr>
        <w:numPr>
          <w:ilvl w:val="0"/>
          <w:numId w:val="2"/>
        </w:numPr>
        <w:ind w:left="420" w:leftChars="0" w:hanging="420" w:firstLineChars="0"/>
        <w:rPr>
          <w:rFonts w:hint="default"/>
          <w:lang w:val="en-US" w:eastAsia="zh-CN"/>
        </w:rPr>
      </w:pPr>
      <w:r>
        <w:rPr>
          <w:rFonts w:hint="eastAsia"/>
          <w:lang w:val="en-US" w:eastAsia="zh-CN"/>
        </w:rPr>
        <w:t>快速盘点功能</w:t>
      </w:r>
    </w:p>
    <w:p>
      <w:pPr>
        <w:numPr>
          <w:ilvl w:val="0"/>
          <w:numId w:val="2"/>
        </w:numPr>
        <w:ind w:left="420" w:leftChars="0" w:hanging="420" w:firstLineChars="0"/>
        <w:rPr>
          <w:rFonts w:hint="default"/>
          <w:lang w:val="en-US" w:eastAsia="zh-CN"/>
        </w:rPr>
      </w:pPr>
      <w:r>
        <w:rPr>
          <w:rFonts w:hint="eastAsia"/>
          <w:lang w:val="en-US" w:eastAsia="zh-CN"/>
        </w:rPr>
        <w:t>支持生成条形码</w:t>
      </w:r>
    </w:p>
    <w:p>
      <w:pPr>
        <w:pStyle w:val="3"/>
        <w:bidi w:val="0"/>
        <w:rPr>
          <w:rFonts w:hint="default"/>
          <w:lang w:val="en-US" w:eastAsia="zh-CN"/>
        </w:rPr>
      </w:pPr>
      <w:r>
        <w:rPr>
          <w:rFonts w:hint="eastAsia"/>
          <w:lang w:val="en-US" w:eastAsia="zh-CN"/>
        </w:rPr>
        <w:t>架构特色</w:t>
      </w:r>
    </w:p>
    <w:p>
      <w:pPr>
        <w:numPr>
          <w:ilvl w:val="0"/>
          <w:numId w:val="3"/>
        </w:numPr>
        <w:ind w:left="420" w:leftChars="0" w:hanging="420" w:firstLineChars="0"/>
        <w:rPr>
          <w:rFonts w:hint="eastAsia"/>
          <w:lang w:val="en-US" w:eastAsia="zh-CN"/>
        </w:rPr>
      </w:pPr>
      <w:r>
        <w:rPr>
          <w:rFonts w:hint="eastAsia"/>
          <w:lang w:val="en-US" w:eastAsia="zh-CN"/>
        </w:rPr>
        <w:t>基于J2EE的主流技术路线</w:t>
      </w:r>
    </w:p>
    <w:p>
      <w:pPr>
        <w:numPr>
          <w:ilvl w:val="0"/>
          <w:numId w:val="3"/>
        </w:numPr>
        <w:ind w:left="420" w:leftChars="0" w:hanging="420" w:firstLineChars="0"/>
        <w:rPr>
          <w:rFonts w:hint="eastAsia"/>
          <w:lang w:val="en-US" w:eastAsia="zh-CN"/>
        </w:rPr>
      </w:pPr>
      <w:r>
        <w:rPr>
          <w:rFonts w:hint="eastAsia"/>
          <w:lang w:val="en-US" w:eastAsia="zh-CN"/>
        </w:rPr>
        <w:t>前后端分离架构功能</w:t>
      </w:r>
    </w:p>
    <w:p>
      <w:pPr>
        <w:numPr>
          <w:ilvl w:val="0"/>
          <w:numId w:val="3"/>
        </w:numPr>
        <w:ind w:left="420" w:leftChars="0" w:hanging="420" w:firstLineChars="0"/>
        <w:rPr>
          <w:rFonts w:hint="eastAsia"/>
          <w:lang w:val="en-US" w:eastAsia="zh-CN"/>
        </w:rPr>
      </w:pPr>
      <w:r>
        <w:rPr>
          <w:rFonts w:hint="eastAsia"/>
          <w:lang w:val="en-US" w:eastAsia="zh-CN"/>
        </w:rPr>
        <w:t>内置单点登录支持</w:t>
      </w:r>
    </w:p>
    <w:p>
      <w:pPr>
        <w:numPr>
          <w:ilvl w:val="0"/>
          <w:numId w:val="3"/>
        </w:numPr>
        <w:ind w:left="420" w:leftChars="0" w:hanging="420" w:firstLineChars="0"/>
        <w:rPr>
          <w:rFonts w:hint="default"/>
          <w:lang w:val="en-US" w:eastAsia="zh-CN"/>
        </w:rPr>
      </w:pPr>
      <w:r>
        <w:rPr>
          <w:rFonts w:hint="eastAsia"/>
          <w:lang w:val="en-US" w:eastAsia="zh-CN"/>
        </w:rPr>
        <w:t>预留用户体系对接机制</w:t>
      </w:r>
    </w:p>
    <w:p>
      <w:pPr>
        <w:numPr>
          <w:ilvl w:val="0"/>
          <w:numId w:val="3"/>
        </w:numPr>
        <w:ind w:left="420" w:leftChars="0" w:hanging="420" w:firstLineChars="0"/>
        <w:rPr>
          <w:rFonts w:hint="default"/>
          <w:lang w:val="en-US" w:eastAsia="zh-CN"/>
        </w:rPr>
      </w:pPr>
      <w:r>
        <w:rPr>
          <w:rFonts w:hint="eastAsia"/>
          <w:lang w:val="en-US" w:eastAsia="zh-CN"/>
        </w:rPr>
        <w:t>支持自定义报表</w:t>
      </w:r>
    </w:p>
    <w:p>
      <w:pPr>
        <w:numPr>
          <w:ilvl w:val="0"/>
          <w:numId w:val="3"/>
        </w:numPr>
        <w:ind w:left="420" w:leftChars="0" w:hanging="420" w:firstLineChars="0"/>
        <w:rPr>
          <w:rFonts w:hint="default"/>
          <w:lang w:val="en-US" w:eastAsia="zh-CN"/>
        </w:rPr>
      </w:pPr>
      <w:r>
        <w:rPr>
          <w:rFonts w:hint="eastAsia"/>
          <w:lang w:val="en-US" w:eastAsia="zh-CN"/>
        </w:rPr>
        <w:t>支持移动APP</w:t>
      </w:r>
    </w:p>
    <w:p>
      <w:pPr>
        <w:pStyle w:val="2"/>
        <w:bidi w:val="0"/>
        <w:ind w:left="432" w:leftChars="0" w:hanging="432" w:firstLineChars="0"/>
        <w:rPr>
          <w:rFonts w:hint="default"/>
          <w:lang w:val="en-US" w:eastAsia="zh-CN"/>
        </w:rPr>
      </w:pPr>
      <w:r>
        <w:rPr>
          <w:rFonts w:hint="eastAsia"/>
          <w:lang w:val="en-US" w:eastAsia="zh-CN"/>
        </w:rPr>
        <w:t>平台功能</w:t>
      </w:r>
    </w:p>
    <w:tbl>
      <w:tblPr>
        <w:tblStyle w:val="4"/>
        <w:tblW w:w="4998" w:type="pct"/>
        <w:tblInd w:w="0" w:type="dxa"/>
        <w:shd w:val="clear" w:color="auto" w:fill="auto"/>
        <w:tblLayout w:type="autofit"/>
        <w:tblCellMar>
          <w:top w:w="0" w:type="dxa"/>
          <w:left w:w="108" w:type="dxa"/>
          <w:bottom w:w="0" w:type="dxa"/>
          <w:right w:w="108" w:type="dxa"/>
        </w:tblCellMar>
      </w:tblPr>
      <w:tblGrid>
        <w:gridCol w:w="698"/>
        <w:gridCol w:w="1176"/>
        <w:gridCol w:w="1656"/>
        <w:gridCol w:w="4989"/>
      </w:tblGrid>
      <w:tr>
        <w:tblPrEx>
          <w:shd w:val="clear" w:color="auto" w:fill="auto"/>
          <w:tblCellMar>
            <w:top w:w="0" w:type="dxa"/>
            <w:left w:w="108" w:type="dxa"/>
            <w:bottom w:w="0" w:type="dxa"/>
            <w:right w:w="108" w:type="dxa"/>
          </w:tblCellMar>
        </w:tblPrEx>
        <w:trPr>
          <w:trHeight w:val="285"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序号</w:t>
            </w:r>
          </w:p>
        </w:tc>
        <w:tc>
          <w:tcPr>
            <w:tcW w:w="43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模块</w:t>
            </w: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功能</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描述</w:t>
            </w:r>
          </w:p>
        </w:tc>
      </w:tr>
      <w:tr>
        <w:tblPrEx>
          <w:shd w:val="clear" w:color="auto" w:fill="auto"/>
          <w:tblCellMar>
            <w:top w:w="0" w:type="dxa"/>
            <w:left w:w="108" w:type="dxa"/>
            <w:bottom w:w="0" w:type="dxa"/>
            <w:right w:w="108" w:type="dxa"/>
          </w:tblCellMar>
        </w:tblPrEx>
        <w:trPr>
          <w:trHeight w:val="285"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437"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基础数据</w:t>
            </w: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部门管理</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管理部门结构</w:t>
            </w:r>
          </w:p>
        </w:tc>
      </w:tr>
      <w:tr>
        <w:tblPrEx>
          <w:shd w:val="clear" w:color="auto" w:fill="auto"/>
          <w:tblCellMar>
            <w:top w:w="0" w:type="dxa"/>
            <w:left w:w="108" w:type="dxa"/>
            <w:bottom w:w="0" w:type="dxa"/>
            <w:right w:w="108" w:type="dxa"/>
          </w:tblCellMar>
        </w:tblPrEx>
        <w:trPr>
          <w:trHeight w:val="285"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角色管理</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管理人员角色信息</w:t>
            </w:r>
          </w:p>
        </w:tc>
      </w:tr>
      <w:tr>
        <w:tblPrEx>
          <w:shd w:val="clear" w:color="auto" w:fill="auto"/>
          <w:tblCellMar>
            <w:top w:w="0" w:type="dxa"/>
            <w:left w:w="108" w:type="dxa"/>
            <w:bottom w:w="0" w:type="dxa"/>
            <w:right w:w="108" w:type="dxa"/>
          </w:tblCellMar>
        </w:tblPrEx>
        <w:trPr>
          <w:trHeight w:val="285"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用户管理</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管理用户信息</w:t>
            </w:r>
          </w:p>
        </w:tc>
      </w:tr>
      <w:tr>
        <w:tblPrEx>
          <w:shd w:val="clear" w:color="auto" w:fill="auto"/>
          <w:tblCellMar>
            <w:top w:w="0" w:type="dxa"/>
            <w:left w:w="108" w:type="dxa"/>
            <w:bottom w:w="0" w:type="dxa"/>
            <w:right w:w="108" w:type="dxa"/>
          </w:tblCellMar>
        </w:tblPrEx>
        <w:trPr>
          <w:trHeight w:val="570"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437"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资产管理</w:t>
            </w: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资产分类</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管理资产的分类信息，包括名称、分类类型（资产/耗材/无形）、排序、状态、上传分类等；支持多级分类，建议不超过三级</w:t>
            </w:r>
          </w:p>
        </w:tc>
      </w:tr>
      <w:tr>
        <w:tblPrEx>
          <w:tblCellMar>
            <w:top w:w="0" w:type="dxa"/>
            <w:left w:w="108" w:type="dxa"/>
            <w:bottom w:w="0" w:type="dxa"/>
            <w:right w:w="108" w:type="dxa"/>
          </w:tblCellMar>
        </w:tblPrEx>
        <w:trPr>
          <w:trHeight w:val="285"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仓库管理</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管理仓库信息：名称、地址、状态、负责人、联系方式。</w:t>
            </w:r>
          </w:p>
        </w:tc>
      </w:tr>
      <w:tr>
        <w:tblPrEx>
          <w:shd w:val="clear" w:color="auto" w:fill="auto"/>
          <w:tblCellMar>
            <w:top w:w="0" w:type="dxa"/>
            <w:left w:w="108" w:type="dxa"/>
            <w:bottom w:w="0" w:type="dxa"/>
            <w:right w:w="108" w:type="dxa"/>
          </w:tblCellMar>
        </w:tblPrEx>
        <w:trPr>
          <w:trHeight w:val="570"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耗材管理</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管理耗材信息，信息包括：所属分类、耗材名称、耗材型号、所在仓库、计量单位、当前数量、总价值等</w:t>
            </w:r>
          </w:p>
        </w:tc>
      </w:tr>
      <w:tr>
        <w:tblPrEx>
          <w:shd w:val="clear" w:color="auto" w:fill="auto"/>
          <w:tblCellMar>
            <w:top w:w="0" w:type="dxa"/>
            <w:left w:w="108" w:type="dxa"/>
            <w:bottom w:w="0" w:type="dxa"/>
            <w:right w:w="108" w:type="dxa"/>
          </w:tblCellMar>
        </w:tblPrEx>
        <w:trPr>
          <w:trHeight w:val="855"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资产管理</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管理资产信息，信息包括：所属分类、编号、所在仓库、采购订单号、厂商、购买渠道、市场价格、购买价格、当前价值、购买时间、当前状态、资产负责人、当前使用部门、当前使用人，报废时间、报废原因等</w:t>
            </w:r>
          </w:p>
        </w:tc>
      </w:tr>
      <w:tr>
        <w:tblPrEx>
          <w:tblCellMar>
            <w:top w:w="0" w:type="dxa"/>
            <w:left w:w="108" w:type="dxa"/>
            <w:bottom w:w="0" w:type="dxa"/>
            <w:right w:w="108" w:type="dxa"/>
          </w:tblCellMar>
        </w:tblPrEx>
        <w:trPr>
          <w:trHeight w:val="285"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无形资产</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管理无形资产信息，信息包括：资产名称、附件材料、获取时间、当前状态、负责人等</w:t>
            </w:r>
          </w:p>
        </w:tc>
      </w:tr>
      <w:tr>
        <w:tblPrEx>
          <w:shd w:val="clear" w:color="auto" w:fill="auto"/>
          <w:tblCellMar>
            <w:top w:w="0" w:type="dxa"/>
            <w:left w:w="108" w:type="dxa"/>
            <w:bottom w:w="0" w:type="dxa"/>
            <w:right w:w="108" w:type="dxa"/>
          </w:tblCellMar>
        </w:tblPrEx>
        <w:trPr>
          <w:trHeight w:val="285"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资产盘点</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确认各资产的当前状况</w:t>
            </w:r>
          </w:p>
        </w:tc>
      </w:tr>
      <w:tr>
        <w:tblPrEx>
          <w:shd w:val="clear" w:color="auto" w:fill="auto"/>
          <w:tblCellMar>
            <w:top w:w="0" w:type="dxa"/>
            <w:left w:w="108" w:type="dxa"/>
            <w:bottom w:w="0" w:type="dxa"/>
            <w:right w:w="108" w:type="dxa"/>
          </w:tblCellMar>
        </w:tblPrEx>
        <w:trPr>
          <w:trHeight w:val="570"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w:t>
            </w:r>
          </w:p>
        </w:tc>
        <w:tc>
          <w:tcPr>
            <w:tcW w:w="437"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采购管理</w:t>
            </w: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采购申请</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申请采购资产信息，包括：所属分类、型号要求、产品名称、厂商、购买渠道、市场价格、购买价格、采购原由、备注说明、申请人、申请时间等。</w:t>
            </w:r>
          </w:p>
        </w:tc>
      </w:tr>
      <w:tr>
        <w:tblPrEx>
          <w:shd w:val="clear" w:color="auto" w:fill="auto"/>
          <w:tblCellMar>
            <w:top w:w="0" w:type="dxa"/>
            <w:left w:w="108" w:type="dxa"/>
            <w:bottom w:w="0" w:type="dxa"/>
            <w:right w:w="108" w:type="dxa"/>
          </w:tblCellMar>
        </w:tblPrEx>
        <w:trPr>
          <w:trHeight w:val="570"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采购审批</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审核采购申请，如果审核通过，需要指定采购负责人、预计采购时间等；如果不通过需要说明原因。</w:t>
            </w:r>
          </w:p>
        </w:tc>
      </w:tr>
      <w:tr>
        <w:tblPrEx>
          <w:shd w:val="clear" w:color="auto" w:fill="auto"/>
          <w:tblCellMar>
            <w:top w:w="0" w:type="dxa"/>
            <w:left w:w="108" w:type="dxa"/>
            <w:bottom w:w="0" w:type="dxa"/>
            <w:right w:w="108" w:type="dxa"/>
          </w:tblCellMar>
        </w:tblPrEx>
        <w:trPr>
          <w:trHeight w:val="570"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租售管理</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租出或者卖出的资产信息，包括：所属分类、租售类型（租赁/售出）、编号、数量、价格、租售原由、备注说明、经手人、租售时间等。</w:t>
            </w:r>
          </w:p>
        </w:tc>
      </w:tr>
      <w:tr>
        <w:tblPrEx>
          <w:shd w:val="clear" w:color="auto" w:fill="auto"/>
          <w:tblCellMar>
            <w:top w:w="0" w:type="dxa"/>
            <w:left w:w="108" w:type="dxa"/>
            <w:bottom w:w="0" w:type="dxa"/>
            <w:right w:w="108" w:type="dxa"/>
          </w:tblCellMar>
        </w:tblPrEx>
        <w:trPr>
          <w:trHeight w:val="570"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资产入库</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针对采购订单的信息入库，包括：所属分类、编号、厂商、数量、购买渠道、市场价格、购买价格、购买时间、当前状态、资产负责人、仓库等</w:t>
            </w:r>
          </w:p>
        </w:tc>
      </w:tr>
      <w:tr>
        <w:tblPrEx>
          <w:shd w:val="clear" w:color="auto" w:fill="auto"/>
          <w:tblCellMar>
            <w:top w:w="0" w:type="dxa"/>
            <w:left w:w="108" w:type="dxa"/>
            <w:bottom w:w="0" w:type="dxa"/>
            <w:right w:w="108" w:type="dxa"/>
          </w:tblCellMar>
        </w:tblPrEx>
        <w:trPr>
          <w:trHeight w:val="570"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w:t>
            </w:r>
          </w:p>
        </w:tc>
        <w:tc>
          <w:tcPr>
            <w:tcW w:w="437"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资产维修</w:t>
            </w: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资产维护</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定期对资产进行维护，需要记录相关信息：资产分类，资产编号、维护时间、维护负责人、维护事项、维护费用、是否为报修、备注说明。</w:t>
            </w:r>
          </w:p>
        </w:tc>
      </w:tr>
      <w:tr>
        <w:tblPrEx>
          <w:shd w:val="clear" w:color="auto" w:fill="auto"/>
          <w:tblCellMar>
            <w:top w:w="0" w:type="dxa"/>
            <w:left w:w="108" w:type="dxa"/>
            <w:bottom w:w="0" w:type="dxa"/>
            <w:right w:w="108" w:type="dxa"/>
          </w:tblCellMar>
        </w:tblPrEx>
        <w:trPr>
          <w:trHeight w:val="570"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维修申请</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申请对资产进行维修，信息包括：资产分类，资产编号、维修原因、当前使用部门、当前使用人、备注说明。</w:t>
            </w:r>
          </w:p>
        </w:tc>
      </w:tr>
      <w:tr>
        <w:tblPrEx>
          <w:shd w:val="clear" w:color="auto" w:fill="auto"/>
          <w:tblCellMar>
            <w:top w:w="0" w:type="dxa"/>
            <w:left w:w="108" w:type="dxa"/>
            <w:bottom w:w="0" w:type="dxa"/>
            <w:right w:w="108" w:type="dxa"/>
          </w:tblCellMar>
        </w:tblPrEx>
        <w:trPr>
          <w:trHeight w:val="570"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维修审批</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审核维修申请，如果审核通过，需要指定维修负责人、预计完成时间等；如果不通过需要说明原因。</w:t>
            </w:r>
          </w:p>
        </w:tc>
      </w:tr>
      <w:tr>
        <w:tblPrEx>
          <w:shd w:val="clear" w:color="auto" w:fill="auto"/>
          <w:tblCellMar>
            <w:top w:w="0" w:type="dxa"/>
            <w:left w:w="108" w:type="dxa"/>
            <w:bottom w:w="0" w:type="dxa"/>
            <w:right w:w="108" w:type="dxa"/>
          </w:tblCellMar>
        </w:tblPrEx>
        <w:trPr>
          <w:trHeight w:val="570"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w:t>
            </w:r>
          </w:p>
        </w:tc>
        <w:tc>
          <w:tcPr>
            <w:tcW w:w="437"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日常管理</w:t>
            </w: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使用申请</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申请使用的资产，需要审批，信息包括：资产分类、型号要求、数量、申请原因、申请人、申请时间、开始使用时间、结束使用时间</w:t>
            </w:r>
          </w:p>
        </w:tc>
      </w:tr>
      <w:tr>
        <w:tblPrEx>
          <w:shd w:val="clear" w:color="auto" w:fill="auto"/>
          <w:tblCellMar>
            <w:top w:w="0" w:type="dxa"/>
            <w:left w:w="108" w:type="dxa"/>
            <w:bottom w:w="0" w:type="dxa"/>
            <w:right w:w="108" w:type="dxa"/>
          </w:tblCellMar>
        </w:tblPrEx>
        <w:trPr>
          <w:trHeight w:val="285"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使用审批</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审批使用申请，如果不同意需要说明原因</w:t>
            </w:r>
          </w:p>
        </w:tc>
      </w:tr>
      <w:tr>
        <w:tblPrEx>
          <w:shd w:val="clear" w:color="auto" w:fill="auto"/>
          <w:tblCellMar>
            <w:top w:w="0" w:type="dxa"/>
            <w:left w:w="108" w:type="dxa"/>
            <w:bottom w:w="0" w:type="dxa"/>
            <w:right w:w="108" w:type="dxa"/>
          </w:tblCellMar>
        </w:tblPrEx>
        <w:trPr>
          <w:trHeight w:val="570"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资产出库</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记录资产的出库信息，包括：资产分类、编号、经手人、申请单、出库时间、接手人，出库说明。</w:t>
            </w:r>
          </w:p>
        </w:tc>
      </w:tr>
      <w:tr>
        <w:tblPrEx>
          <w:shd w:val="clear" w:color="auto" w:fill="auto"/>
          <w:tblCellMar>
            <w:top w:w="0" w:type="dxa"/>
            <w:left w:w="108" w:type="dxa"/>
            <w:bottom w:w="0" w:type="dxa"/>
            <w:right w:w="108" w:type="dxa"/>
          </w:tblCellMar>
        </w:tblPrEx>
        <w:trPr>
          <w:trHeight w:val="570"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资产归还</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记录资产的返库信息，包括：资产分类、编号、经手人、返还人、原使用人，返还时间、备注说明。</w:t>
            </w:r>
          </w:p>
        </w:tc>
      </w:tr>
      <w:tr>
        <w:tblPrEx>
          <w:shd w:val="clear" w:color="auto" w:fill="auto"/>
          <w:tblCellMar>
            <w:top w:w="0" w:type="dxa"/>
            <w:left w:w="108" w:type="dxa"/>
            <w:bottom w:w="0" w:type="dxa"/>
            <w:right w:w="108" w:type="dxa"/>
          </w:tblCellMar>
        </w:tblPrEx>
        <w:trPr>
          <w:trHeight w:val="570"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耗材领用</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记录耗材的出库信息，包括：所属分类、耗材名称、耗材型号、数量、经手人、申请单、出库时间、接手人，出库说明。</w:t>
            </w:r>
          </w:p>
        </w:tc>
      </w:tr>
      <w:tr>
        <w:tblPrEx>
          <w:shd w:val="clear" w:color="auto" w:fill="auto"/>
          <w:tblCellMar>
            <w:top w:w="0" w:type="dxa"/>
            <w:left w:w="108" w:type="dxa"/>
            <w:bottom w:w="0" w:type="dxa"/>
            <w:right w:w="108" w:type="dxa"/>
          </w:tblCellMar>
        </w:tblPrEx>
        <w:trPr>
          <w:trHeight w:val="570"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w:t>
            </w:r>
          </w:p>
        </w:tc>
        <w:tc>
          <w:tcPr>
            <w:tcW w:w="437"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数据中心</w:t>
            </w: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对接应用管理</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管理接入的应用信息，如果要对接数据，需要提供应用的数据库信息：类型、地址、账号、密码等</w:t>
            </w:r>
          </w:p>
        </w:tc>
      </w:tr>
      <w:tr>
        <w:tblPrEx>
          <w:shd w:val="clear" w:color="auto" w:fill="auto"/>
          <w:tblCellMar>
            <w:top w:w="0" w:type="dxa"/>
            <w:left w:w="108" w:type="dxa"/>
            <w:bottom w:w="0" w:type="dxa"/>
            <w:right w:w="108" w:type="dxa"/>
          </w:tblCellMar>
        </w:tblPrEx>
        <w:trPr>
          <w:trHeight w:val="570"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模型管理</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管理要对接的数据，需要在本系统的数据库中建表即可，其它应用的读写都是相对于本系统中的数据表</w:t>
            </w:r>
          </w:p>
        </w:tc>
      </w:tr>
      <w:tr>
        <w:tblPrEx>
          <w:shd w:val="clear" w:color="auto" w:fill="auto"/>
          <w:tblCellMar>
            <w:top w:w="0" w:type="dxa"/>
            <w:left w:w="108" w:type="dxa"/>
            <w:bottom w:w="0" w:type="dxa"/>
            <w:right w:w="108" w:type="dxa"/>
          </w:tblCellMar>
        </w:tblPrEx>
        <w:trPr>
          <w:trHeight w:val="1425"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通道管理</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设置各应用的对接参数信息，选择应用和要对接的数据模型，选择权限（从本系统读数据或者写数据），设置读取、新增、更新、删除和验证的SQL语句。当权限是读数据时，读取SQL是从本平台读数据的方式；当权限是写时，读取SQL是从对接应用读取数据的方式；验证SQL是在写入前判断数据是否存在的SQL，返回空结果集即为不存在；新增、更新为写入数据的方式；删除暂时不处理，平台应禁止物理删除。</w:t>
            </w:r>
          </w:p>
        </w:tc>
      </w:tr>
      <w:tr>
        <w:tblPrEx>
          <w:shd w:val="clear" w:color="auto" w:fill="auto"/>
          <w:tblCellMar>
            <w:top w:w="0" w:type="dxa"/>
            <w:left w:w="108" w:type="dxa"/>
            <w:bottom w:w="0" w:type="dxa"/>
            <w:right w:w="108" w:type="dxa"/>
          </w:tblCellMar>
        </w:tblPrEx>
        <w:trPr>
          <w:trHeight w:val="285"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w:t>
            </w:r>
          </w:p>
        </w:tc>
        <w:tc>
          <w:tcPr>
            <w:tcW w:w="437"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查询统计</w:t>
            </w: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总体情况</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资产总值、资产数、资产价值、耗材种类、耗材价值</w:t>
            </w:r>
          </w:p>
        </w:tc>
      </w:tr>
      <w:tr>
        <w:tblPrEx>
          <w:shd w:val="clear" w:color="auto" w:fill="auto"/>
          <w:tblCellMar>
            <w:top w:w="0" w:type="dxa"/>
            <w:left w:w="108" w:type="dxa"/>
            <w:bottom w:w="0" w:type="dxa"/>
            <w:right w:w="108" w:type="dxa"/>
          </w:tblCellMar>
        </w:tblPrEx>
        <w:trPr>
          <w:trHeight w:val="285"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资产查询</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查询各资产的详细信息</w:t>
            </w:r>
          </w:p>
        </w:tc>
      </w:tr>
      <w:tr>
        <w:tblPrEx>
          <w:shd w:val="clear" w:color="auto" w:fill="auto"/>
          <w:tblCellMar>
            <w:top w:w="0" w:type="dxa"/>
            <w:left w:w="108" w:type="dxa"/>
            <w:bottom w:w="0" w:type="dxa"/>
            <w:right w:w="108" w:type="dxa"/>
          </w:tblCellMar>
        </w:tblPrEx>
        <w:trPr>
          <w:trHeight w:val="285"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耗材查询</w:t>
            </w:r>
          </w:p>
        </w:tc>
        <w:tc>
          <w:tcPr>
            <w:tcW w:w="35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查询各种耗材的详细信息</w:t>
            </w:r>
          </w:p>
        </w:tc>
      </w:tr>
      <w:tr>
        <w:tblPrEx>
          <w:shd w:val="clear" w:color="auto" w:fill="auto"/>
          <w:tblCellMar>
            <w:top w:w="0" w:type="dxa"/>
            <w:left w:w="108" w:type="dxa"/>
            <w:bottom w:w="0" w:type="dxa"/>
            <w:right w:w="108" w:type="dxa"/>
          </w:tblCellMar>
        </w:tblPrEx>
        <w:trPr>
          <w:trHeight w:val="285"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维修查询</w:t>
            </w:r>
          </w:p>
        </w:tc>
        <w:tc>
          <w:tcPr>
            <w:tcW w:w="3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查询各资产的维护记录</w:t>
            </w:r>
          </w:p>
        </w:tc>
      </w:tr>
      <w:tr>
        <w:tblPrEx>
          <w:shd w:val="clear" w:color="auto" w:fill="auto"/>
          <w:tblCellMar>
            <w:top w:w="0" w:type="dxa"/>
            <w:left w:w="108" w:type="dxa"/>
            <w:bottom w:w="0" w:type="dxa"/>
            <w:right w:w="108" w:type="dxa"/>
          </w:tblCellMar>
        </w:tblPrEx>
        <w:trPr>
          <w:trHeight w:val="285"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资产统计</w:t>
            </w:r>
          </w:p>
        </w:tc>
        <w:tc>
          <w:tcPr>
            <w:tcW w:w="3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以年为单位统计资产总值的变化</w:t>
            </w:r>
          </w:p>
        </w:tc>
      </w:tr>
      <w:tr>
        <w:tblPrEx>
          <w:shd w:val="clear" w:color="auto" w:fill="auto"/>
          <w:tblCellMar>
            <w:top w:w="0" w:type="dxa"/>
            <w:left w:w="108" w:type="dxa"/>
            <w:bottom w:w="0" w:type="dxa"/>
            <w:right w:w="108" w:type="dxa"/>
          </w:tblCellMar>
        </w:tblPrEx>
        <w:trPr>
          <w:trHeight w:val="285"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固定资产</w:t>
            </w:r>
          </w:p>
        </w:tc>
        <w:tc>
          <w:tcPr>
            <w:tcW w:w="3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以年为单位统计固定资产总值的变化</w:t>
            </w:r>
          </w:p>
        </w:tc>
      </w:tr>
      <w:tr>
        <w:tblPrEx>
          <w:shd w:val="clear" w:color="auto" w:fill="auto"/>
          <w:tblCellMar>
            <w:top w:w="0" w:type="dxa"/>
            <w:left w:w="108" w:type="dxa"/>
            <w:bottom w:w="0" w:type="dxa"/>
            <w:right w:w="108" w:type="dxa"/>
          </w:tblCellMar>
        </w:tblPrEx>
        <w:trPr>
          <w:trHeight w:val="285"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采购统计</w:t>
            </w:r>
          </w:p>
        </w:tc>
        <w:tc>
          <w:tcPr>
            <w:tcW w:w="3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以年为单位统计采购总价的变化</w:t>
            </w:r>
          </w:p>
        </w:tc>
      </w:tr>
      <w:tr>
        <w:tblPrEx>
          <w:shd w:val="clear" w:color="auto" w:fill="auto"/>
          <w:tblCellMar>
            <w:top w:w="0" w:type="dxa"/>
            <w:left w:w="108" w:type="dxa"/>
            <w:bottom w:w="0" w:type="dxa"/>
            <w:right w:w="108" w:type="dxa"/>
          </w:tblCellMar>
        </w:tblPrEx>
        <w:trPr>
          <w:trHeight w:val="285"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报废统计</w:t>
            </w:r>
          </w:p>
        </w:tc>
        <w:tc>
          <w:tcPr>
            <w:tcW w:w="3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以年为单位统计报废总值的变化</w:t>
            </w:r>
          </w:p>
        </w:tc>
      </w:tr>
      <w:tr>
        <w:tblPrEx>
          <w:shd w:val="clear" w:color="auto" w:fill="auto"/>
          <w:tblCellMar>
            <w:top w:w="0" w:type="dxa"/>
            <w:left w:w="108" w:type="dxa"/>
            <w:bottom w:w="0" w:type="dxa"/>
            <w:right w:w="108" w:type="dxa"/>
          </w:tblCellMar>
        </w:tblPrEx>
        <w:trPr>
          <w:trHeight w:val="285"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w:t>
            </w:r>
          </w:p>
        </w:tc>
        <w:tc>
          <w:tcPr>
            <w:tcW w:w="43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维护统计</w:t>
            </w:r>
          </w:p>
        </w:tc>
        <w:tc>
          <w:tcPr>
            <w:tcW w:w="3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以年为单位统计资产维护次数的变化</w:t>
            </w:r>
          </w:p>
        </w:tc>
      </w:tr>
    </w:tbl>
    <w:p>
      <w:pPr>
        <w:rPr>
          <w:rFonts w:hint="default"/>
          <w:lang w:val="en-US" w:eastAsia="zh-CN"/>
        </w:rPr>
      </w:pPr>
    </w:p>
    <w:p>
      <w:pPr>
        <w:pStyle w:val="2"/>
        <w:bidi w:val="0"/>
        <w:rPr>
          <w:rFonts w:hint="default"/>
          <w:lang w:val="en-US" w:eastAsia="zh-CN"/>
        </w:rPr>
      </w:pPr>
      <w:r>
        <w:rPr>
          <w:rFonts w:hint="eastAsia"/>
          <w:lang w:val="en-US" w:eastAsia="zh-CN"/>
        </w:rPr>
        <w:t>截图参考</w:t>
      </w:r>
    </w:p>
    <w:p>
      <w:r>
        <w:drawing>
          <wp:inline distT="0" distB="0" distL="114300" distR="114300">
            <wp:extent cx="5260975" cy="1707515"/>
            <wp:effectExtent l="0" t="0" r="158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0975" cy="1707515"/>
                    </a:xfrm>
                    <a:prstGeom prst="rect">
                      <a:avLst/>
                    </a:prstGeom>
                    <a:noFill/>
                    <a:ln>
                      <a:noFill/>
                    </a:ln>
                  </pic:spPr>
                </pic:pic>
              </a:graphicData>
            </a:graphic>
          </wp:inline>
        </w:drawing>
      </w:r>
    </w:p>
    <w:p/>
    <w:p>
      <w:r>
        <w:drawing>
          <wp:inline distT="0" distB="0" distL="114300" distR="114300">
            <wp:extent cx="5259070" cy="2329815"/>
            <wp:effectExtent l="0" t="0" r="1778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59070" cy="2329815"/>
                    </a:xfrm>
                    <a:prstGeom prst="rect">
                      <a:avLst/>
                    </a:prstGeom>
                    <a:noFill/>
                    <a:ln>
                      <a:noFill/>
                    </a:ln>
                  </pic:spPr>
                </pic:pic>
              </a:graphicData>
            </a:graphic>
          </wp:inline>
        </w:drawing>
      </w:r>
    </w:p>
    <w:p>
      <w:bookmarkStart w:id="0" w:name="_GoBack"/>
      <w:bookmarkEnd w:id="0"/>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814743"/>
    <w:multiLevelType w:val="singleLevel"/>
    <w:tmpl w:val="C2814743"/>
    <w:lvl w:ilvl="0" w:tentative="0">
      <w:start w:val="1"/>
      <w:numFmt w:val="bullet"/>
      <w:lvlText w:val=""/>
      <w:lvlJc w:val="left"/>
      <w:pPr>
        <w:ind w:left="420" w:hanging="420"/>
      </w:pPr>
      <w:rPr>
        <w:rFonts w:hint="default" w:ascii="Wingdings" w:hAnsi="Wingdings"/>
      </w:rPr>
    </w:lvl>
  </w:abstractNum>
  <w:abstractNum w:abstractNumId="1">
    <w:nsid w:val="0DB5C6A2"/>
    <w:multiLevelType w:val="multilevel"/>
    <w:tmpl w:val="0DB5C6A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2">
    <w:nsid w:val="17583F1F"/>
    <w:multiLevelType w:val="singleLevel"/>
    <w:tmpl w:val="17583F1F"/>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0MGYwZDVmNWQ1ODI0M2MyOGZhZDE2ODI4MDliYzkifQ=="/>
  </w:docVars>
  <w:rsids>
    <w:rsidRoot w:val="00000000"/>
    <w:rsid w:val="07581E79"/>
    <w:rsid w:val="084A5CDA"/>
    <w:rsid w:val="08D32787"/>
    <w:rsid w:val="2ECD60C0"/>
    <w:rsid w:val="4C10124D"/>
    <w:rsid w:val="516C7664"/>
    <w:rsid w:val="5A631120"/>
    <w:rsid w:val="5BEB590C"/>
    <w:rsid w:val="7047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2021-06-04T06:15:00Z</dcterms:created>
  <dc:creator>Administrator</dc:creator>
  <cp:lastModifiedBy>凭祥市社会保险事业管理中心</cp:lastModifiedBy>
  <dcterms:modified xsi:type="dcterms:W3CDTF">2022-09-22T07:43:00Z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0B55DD3E5B4047A58DE6BD663693F3F3</vt:lpwstr>
  </property>
</Properties>
</file>