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2E7D46"/>
          <w:sz w:val="24"/>
          <w:szCs w:val="24"/>
        </w:rPr>
        <w:t xml:space="preserve">TechnicoFlor (TFI)</w:t>
      </w:r>
    </w:p>
    <w:p>
      <w:pPr>
        <w:pStyle w:val="Title"/>
        <w:spacing w:after="60" w:before="60"/>
      </w:pPr>
      <w:r>
        <w:t xml:space="preserve">Technical Design Document</w:t>
      </w:r>
    </w:p>
    <w:p>
      <w:pPr>
        <w:pStyle w:val="Subtitle"/>
      </w:pPr>
      <w:r>
        <w:t xml:space="preserve">Perfume ERP — Manufacturing &amp; Distribution System</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Field</w:t>
            </w:r>
          </w:p>
        </w:tc>
        <w:tc>
          <w:tcPr>
            <w:tcW w:type="dxa" w:w="67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Value</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Document type</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Technical Design Document (TDD)</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Perfume ERP — Manufacturing &amp; Distribution System</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Version</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0.50.0</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Status</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Released</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Date</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8 July 2026</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Document owner</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TechnicoFlor Engineering</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Classification</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Confidential</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 &amp; Audience</w:t>
      </w:r>
    </w:p>
    <w:p>
      <w:pPr>
        <w:spacing w:after="120"/>
      </w:pPr>
      <w:r>
        <w:t xml:space="preserve">This Technical Design Document (TDD) describes the architecture, data model, key algorithms, and cross-cutting concerns of the TechnicoFlor Perfume ERP. It is written for engineers who build, extend, review, or operate the system. It complements the Requirements Specification (what the system does) and the Handover Document (how to run and maintain it).</w:t>
      </w:r>
    </w:p>
    <w:p>
      <w:pPr>
        <w:pStyle w:val="Heading2"/>
      </w:pPr>
      <w:r>
        <w:t xml:space="preserve">1.2 Design Philosophy</w:t>
      </w:r>
    </w:p>
    <w:p>
      <w:pPr>
        <w:spacing w:after="120"/>
      </w:pPr>
      <w:r>
        <w:t xml:space="preserve">The guiding principle is that the riskiest surface of a manufacturing ERP is the integrity of the numbers — stock, cost, tax — not the screens. Accordingly, the data model and its invariants were designed and verified against live PostgreSQL first, and business-critical operations are enforced inside the database as atomic, access-controlled functions. The web tier is a typed, defense-in-depth layer over a core that cannot silently corrupt stock or leak trade secrets. Every layer degrades gracefully: absent a backend the UI previews; absent optional services (email, CAPTCHA, Redis) the related feature quietly stands down.</w:t>
      </w:r>
    </w:p>
    <w:p>
      <w:pPr>
        <w:pStyle w:val="Heading1"/>
      </w:pPr>
      <w:r>
        <w:t xml:space="preserve">2. System Architecture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Layer</w:t>
            </w:r>
          </w:p>
        </w:tc>
        <w:tc>
          <w:tcPr>
            <w:tcW w:type="dxa" w:w="34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Technology</w:t>
            </w:r>
          </w:p>
        </w:tc>
        <w:tc>
          <w:tcPr>
            <w:tcW w:type="dxa" w:w="40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Notes</w:t>
            </w:r>
          </w:p>
        </w:tc>
      </w:tr>
      <w:tr>
        <w:tc>
          <w:tcPr>
            <w:tcW w:type="dxa" w:w="19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Front-end</w:t>
            </w:r>
          </w:p>
        </w:tc>
        <w:tc>
          <w:tcPr>
            <w:tcW w:type="dxa" w:w="3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Next.js 14 (App Router), React 18, TypeScript</w:t>
            </w:r>
          </w:p>
        </w:tc>
        <w:tc>
          <w:tcPr>
            <w:tcW w:type="dxa" w:w="40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Server + client components; offline PWA.</w:t>
            </w:r>
          </w:p>
        </w:tc>
      </w:tr>
      <w:tr>
        <w:tc>
          <w:tcPr>
            <w:tcW w:type="dxa" w:w="19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Styling</w:t>
            </w:r>
          </w:p>
        </w:tc>
        <w:tc>
          <w:tcPr>
            <w:tcW w:type="dxa" w:w="3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Tailwind CSS 3.4 + CSS-variable design tokens</w:t>
            </w:r>
          </w:p>
        </w:tc>
        <w:tc>
          <w:tcPr>
            <w:tcW w:type="dxa" w:w="40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Light / sea-blue-dark themes via data-theme.</w:t>
            </w:r>
          </w:p>
        </w:tc>
      </w:tr>
      <w:tr>
        <w:tc>
          <w:tcPr>
            <w:tcW w:type="dxa" w:w="19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API</w:t>
            </w:r>
          </w:p>
        </w:tc>
        <w:tc>
          <w:tcPr>
            <w:tcW w:type="dxa" w:w="3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Next.js Route Handlers (typed)</w:t>
            </w:r>
          </w:p>
        </w:tc>
        <w:tc>
          <w:tcPr>
            <w:tcW w:type="dxa" w:w="40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JSON endpoints under /app/api.</w:t>
            </w:r>
          </w:p>
        </w:tc>
      </w:tr>
      <w:tr>
        <w:tc>
          <w:tcPr>
            <w:tcW w:type="dxa" w:w="19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Auth</w:t>
            </w:r>
          </w:p>
        </w:tc>
        <w:tc>
          <w:tcPr>
            <w:tcW w:type="dxa" w:w="3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Supabase Auth (GoTrue), signed JWT</w:t>
            </w:r>
          </w:p>
        </w:tc>
        <w:tc>
          <w:tcPr>
            <w:tcW w:type="dxa" w:w="40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@supabase/ssr for cookie-based sessions.</w:t>
            </w:r>
          </w:p>
        </w:tc>
      </w:tr>
      <w:tr>
        <w:tc>
          <w:tcPr>
            <w:tcW w:type="dxa" w:w="19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Database</w:t>
            </w:r>
          </w:p>
        </w:tc>
        <w:tc>
          <w:tcPr>
            <w:tcW w:type="dxa" w:w="3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Supabase PostgreSQL</w:t>
            </w:r>
          </w:p>
        </w:tc>
        <w:tc>
          <w:tcPr>
            <w:tcW w:type="dxa" w:w="40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Schema, SECURITY DEFINER functions, RLS.</w:t>
            </w:r>
          </w:p>
        </w:tc>
      </w:tr>
      <w:tr>
        <w:tc>
          <w:tcPr>
            <w:tcW w:type="dxa" w:w="19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Arithmetic</w:t>
            </w:r>
          </w:p>
        </w:tc>
        <w:tc>
          <w:tcPr>
            <w:tcW w:type="dxa" w:w="3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decimal.js</w:t>
            </w:r>
          </w:p>
        </w:tc>
        <w:tc>
          <w:tcPr>
            <w:tcW w:type="dxa" w:w="40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Fixed-precision money &amp; quantity math.</w:t>
            </w:r>
          </w:p>
        </w:tc>
      </w:tr>
      <w:tr>
        <w:tc>
          <w:tcPr>
            <w:tcW w:type="dxa" w:w="19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PDF</w:t>
            </w:r>
          </w:p>
        </w:tc>
        <w:tc>
          <w:tcPr>
            <w:tcW w:type="dxa" w:w="3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pdf-lib</w:t>
            </w:r>
          </w:p>
        </w:tc>
        <w:tc>
          <w:tcPr>
            <w:tcW w:type="dxa" w:w="40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Pure-JS server-side document rendering.</w:t>
            </w:r>
          </w:p>
        </w:tc>
      </w:tr>
      <w:tr>
        <w:tc>
          <w:tcPr>
            <w:tcW w:type="dxa" w:w="19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Email</w:t>
            </w:r>
          </w:p>
        </w:tc>
        <w:tc>
          <w:tcPr>
            <w:tcW w:type="dxa" w:w="3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nodemailer over SMTP</w:t>
            </w:r>
          </w:p>
        </w:tc>
        <w:tc>
          <w:tcPr>
            <w:tcW w:type="dxa" w:w="40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Provider-agnostic; optional.</w:t>
            </w:r>
          </w:p>
        </w:tc>
      </w:tr>
      <w:tr>
        <w:tc>
          <w:tcPr>
            <w:tcW w:type="dxa" w:w="19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Security edge</w:t>
            </w:r>
          </w:p>
        </w:tc>
        <w:tc>
          <w:tcPr>
            <w:tcW w:type="dxa" w:w="3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Middleware + src/lib/security</w:t>
            </w:r>
          </w:p>
        </w:tc>
        <w:tc>
          <w:tcPr>
            <w:tcW w:type="dxa" w:w="40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Rate limit, CAPTCHA hook, WAF, headers.</w:t>
            </w:r>
          </w:p>
        </w:tc>
      </w:tr>
      <w:tr>
        <w:tc>
          <w:tcPr>
            <w:tcW w:type="dxa" w:w="19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Testing</w:t>
            </w:r>
          </w:p>
        </w:tc>
        <w:tc>
          <w:tcPr>
            <w:tcW w:type="dxa" w:w="3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Vitest (unit + integration), Cypress (E2E)</w:t>
            </w:r>
          </w:p>
        </w:tc>
        <w:tc>
          <w:tcPr>
            <w:tcW w:type="dxa" w:w="40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Integration runs against live PostgreSQL.</w:t>
            </w:r>
          </w:p>
        </w:tc>
      </w:tr>
    </w:tbl>
    <w:p>
      <w:pPr>
        <w:pStyle w:val="Heading2"/>
      </w:pPr>
      <w:r>
        <w:t xml:space="preserve">2.2 Layered View</w:t>
      </w:r>
    </w:p>
    <w:p>
      <w:pPr>
        <w:spacing w:after="120"/>
      </w:pPr>
      <w:r>
        <w:t xml:space="preserve">Requests flow through a security pipeline before reaching application logic, and every mutation ultimately lands in an access-controlled database function:</w:t>
      </w:r>
    </w:p>
    <w:p>
      <w:pPr>
        <w:shd w:fill="F3F5F3" w:val="clear"/>
        <w:spacing w:after="0"/>
      </w:pPr>
      <w:r>
        <w:rPr>
          <w:rFonts w:ascii="Consolas" w:cs="Consolas" w:eastAsia="Consolas" w:hAnsi="Consolas"/>
          <w:sz w:val="18"/>
          <w:szCs w:val="18"/>
        </w:rPr>
        <w:t xml:space="preserve">Browser (PWA)</w:t>
      </w:r>
    </w:p>
    <w:p>
      <w:pPr>
        <w:shd w:fill="F3F5F3" w:val="clear"/>
        <w:spacing w:after="0"/>
      </w:pPr>
      <w:r>
        <w:rPr>
          <w:rFonts w:ascii="Consolas" w:cs="Consolas" w:eastAsia="Consolas" w:hAnsi="Consolas"/>
          <w:sz w:val="18"/>
          <w:szCs w:val="18"/>
        </w:rPr>
        <w:t xml:space="preserve">   │  HTTPS</w:t>
      </w:r>
    </w:p>
    <w:p>
      <w:pPr>
        <w:shd w:fill="F3F5F3" w:val="clear"/>
        <w:spacing w:after="0"/>
      </w:pPr>
      <w:r>
        <w:rPr>
          <w:rFonts w:ascii="Consolas" w:cs="Consolas" w:eastAsia="Consolas" w:hAnsi="Consolas"/>
          <w:sz w:val="18"/>
          <w:szCs w:val="18"/>
        </w:rPr>
        <w:t xml:space="preserve">   ▼</w:t>
      </w:r>
    </w:p>
    <w:p>
      <w:pPr>
        <w:shd w:fill="F3F5F3" w:val="clear"/>
        <w:spacing w:after="0"/>
      </w:pPr>
      <w:r>
        <w:rPr>
          <w:rFonts w:ascii="Consolas" w:cs="Consolas" w:eastAsia="Consolas" w:hAnsi="Consolas"/>
          <w:sz w:val="18"/>
          <w:szCs w:val="18"/>
        </w:rPr>
        <w:t xml:space="preserve">middleware.ts ──► WAF filter → rate limit → CSP nonce → Supabase session refresh → route gate</w:t>
      </w:r>
    </w:p>
    <w:p>
      <w:pPr>
        <w:shd w:fill="F3F5F3" w:val="clear"/>
        <w:spacing w:after="0"/>
      </w:pPr>
      <w:r>
        <w:rPr>
          <w:rFonts w:ascii="Consolas" w:cs="Consolas" w:eastAsia="Consolas" w:hAnsi="Consolas"/>
          <w:sz w:val="18"/>
          <w:szCs w:val="18"/>
        </w:rPr>
        <w:t xml:space="preserve">   │</w:t>
      </w:r>
    </w:p>
    <w:p>
      <w:pPr>
        <w:shd w:fill="F3F5F3" w:val="clear"/>
        <w:spacing w:after="0"/>
      </w:pPr>
      <w:r>
        <w:rPr>
          <w:rFonts w:ascii="Consolas" w:cs="Consolas" w:eastAsia="Consolas" w:hAnsi="Consolas"/>
          <w:sz w:val="18"/>
          <w:szCs w:val="18"/>
        </w:rPr>
        <w:t xml:space="preserve">   ▼</w:t>
      </w:r>
    </w:p>
    <w:p>
      <w:pPr>
        <w:shd w:fill="F3F5F3" w:val="clear"/>
        <w:spacing w:after="0"/>
      </w:pPr>
      <w:r>
        <w:rPr>
          <w:rFonts w:ascii="Consolas" w:cs="Consolas" w:eastAsia="Consolas" w:hAnsi="Consolas"/>
          <w:sz w:val="18"/>
          <w:szCs w:val="18"/>
        </w:rPr>
        <w:t xml:space="preserve">Next.js Route Handlers (/app/api/**)   ── apiAuth(role) clearance check (JSON 401/403/503)</w:t>
      </w:r>
    </w:p>
    <w:p>
      <w:pPr>
        <w:shd w:fill="F3F5F3" w:val="clear"/>
        <w:spacing w:after="0"/>
      </w:pPr>
      <w:r>
        <w:rPr>
          <w:rFonts w:ascii="Consolas" w:cs="Consolas" w:eastAsia="Consolas" w:hAnsi="Consolas"/>
          <w:sz w:val="18"/>
          <w:szCs w:val="18"/>
        </w:rPr>
        <w:t xml:space="preserve">   │        │</w:t>
      </w:r>
    </w:p>
    <w:p>
      <w:pPr>
        <w:shd w:fill="F3F5F3" w:val="clear"/>
        <w:spacing w:after="0"/>
      </w:pPr>
      <w:r>
        <w:rPr>
          <w:rFonts w:ascii="Consolas" w:cs="Consolas" w:eastAsia="Consolas" w:hAnsi="Consolas"/>
          <w:sz w:val="18"/>
          <w:szCs w:val="18"/>
        </w:rPr>
        <w:t xml:space="preserve">   │        └─► src/server/* orchestration (typed, ServerResult&lt;T&gt;)</w:t>
      </w:r>
    </w:p>
    <w:p>
      <w:pPr>
        <w:shd w:fill="F3F5F3" w:val="clear"/>
        <w:spacing w:after="0"/>
      </w:pPr>
      <w:r>
        <w:rPr>
          <w:rFonts w:ascii="Consolas" w:cs="Consolas" w:eastAsia="Consolas" w:hAnsi="Consolas"/>
          <w:sz w:val="18"/>
          <w:szCs w:val="18"/>
        </w:rPr>
        <w:t xml:space="preserve">   ▼</w:t>
      </w:r>
    </w:p>
    <w:p>
      <w:pPr>
        <w:shd w:fill="F3F5F3" w:val="clear"/>
        <w:spacing w:after="0"/>
      </w:pPr>
      <w:r>
        <w:rPr>
          <w:rFonts w:ascii="Consolas" w:cs="Consolas" w:eastAsia="Consolas" w:hAnsi="Consolas"/>
          <w:sz w:val="18"/>
          <w:szCs w:val="18"/>
        </w:rPr>
        <w:t xml:space="preserve">Supabase client (@supabase/ssr)  ── carries the caller's JWT</w:t>
      </w:r>
    </w:p>
    <w:p>
      <w:pPr>
        <w:shd w:fill="F3F5F3" w:val="clear"/>
        <w:spacing w:after="0"/>
      </w:pPr>
      <w:r>
        <w:rPr>
          <w:rFonts w:ascii="Consolas" w:cs="Consolas" w:eastAsia="Consolas" w:hAnsi="Consolas"/>
          <w:sz w:val="18"/>
          <w:szCs w:val="18"/>
        </w:rPr>
        <w:t xml:space="preserve">   │</w:t>
      </w:r>
    </w:p>
    <w:p>
      <w:pPr>
        <w:shd w:fill="F3F5F3" w:val="clear"/>
        <w:spacing w:after="0"/>
      </w:pPr>
      <w:r>
        <w:rPr>
          <w:rFonts w:ascii="Consolas" w:cs="Consolas" w:eastAsia="Consolas" w:hAnsi="Consolas"/>
          <w:sz w:val="18"/>
          <w:szCs w:val="18"/>
        </w:rPr>
        <w:t xml:space="preserve">   ▼</w:t>
      </w:r>
    </w:p>
    <w:p>
      <w:pPr>
        <w:shd w:fill="F3F5F3" w:val="clear"/>
        <w:spacing w:after="0"/>
      </w:pPr>
      <w:r>
        <w:rPr>
          <w:rFonts w:ascii="Consolas" w:cs="Consolas" w:eastAsia="Consolas" w:hAnsi="Consolas"/>
          <w:sz w:val="18"/>
          <w:szCs w:val="18"/>
        </w:rPr>
        <w:t xml:space="preserve">PostgreSQL ── RLS policies (authoritative) + SECURITY DEFINER functions (atomic writes)</w:t>
      </w:r>
    </w:p>
    <w:p>
      <w:pPr>
        <w:shd w:fill="F3F5F3" w:val="clear"/>
        <w:spacing w:after="0"/>
      </w:pPr>
      <w:r>
        <w:rPr>
          <w:rFonts w:ascii="Consolas" w:cs="Consolas" w:eastAsia="Consolas" w:hAnsi="Consolas"/>
          <w:sz w:val="18"/>
          <w:szCs w:val="18"/>
        </w:rPr>
        <w:t xml:space="preserve">              stock_movements (append-only ledger = source of truth)</w:t>
      </w:r>
    </w:p>
    <w:p>
      <w:pPr>
        <w:pStyle w:val="Heading2"/>
      </w:pPr>
      <w:r>
        <w:t xml:space="preserve">2.3 Directory Structure (key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Path</w:t>
            </w:r>
          </w:p>
        </w:tc>
        <w:tc>
          <w:tcPr>
            <w:tcW w:type="dxa" w:w="61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Responsibility</w:t>
            </w:r>
          </w:p>
        </w:tc>
      </w:tr>
      <w:tr>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middleware.ts</w:t>
            </w:r>
          </w:p>
        </w:tc>
        <w:tc>
          <w:tcPr>
            <w:tcW w:type="dxa" w:w="6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Security pipeline entry: WAF, rate limit, CSP nonce, session, route gating.</w:t>
            </w:r>
          </w:p>
        </w:tc>
      </w:tr>
      <w:tr>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app/ (App Router)</w:t>
            </w:r>
          </w:p>
        </w:tc>
        <w:tc>
          <w:tcPr>
            <w:tcW w:type="dxa" w:w="6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Public dashboard (/), auth pages, /app operational console, /admin area, /api handlers, /print sheets.</w:t>
            </w:r>
          </w:p>
        </w:tc>
      </w:tr>
      <w:tr>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src/domain/</w:t>
            </w:r>
          </w:p>
        </w:tc>
        <w:tc>
          <w:tcPr>
            <w:tcW w:type="dxa" w:w="6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Pure, fully unit-tested business math (unit conversion, scaling); no I/O.</w:t>
            </w:r>
          </w:p>
        </w:tc>
      </w:tr>
      <w:tr>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src/server/</w:t>
            </w:r>
          </w:p>
        </w:tc>
        <w:tc>
          <w:tcPr>
            <w:tcW w:type="dxa" w:w="6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Server-side orchestration (production, documents, receivables, PDF); returns ServerResult&lt;T&gt;.</w:t>
            </w:r>
          </w:p>
        </w:tc>
      </w:tr>
      <w:tr>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src/lib/auth/</w:t>
            </w:r>
          </w:p>
        </w:tc>
        <w:tc>
          <w:tcPr>
            <w:tcW w:type="dxa" w:w="6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Session/role resolution and API clearance guard (apiAuth, requireRole).</w:t>
            </w:r>
          </w:p>
        </w:tc>
      </w:tr>
      <w:tr>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src/lib/supabase/</w:t>
            </w:r>
          </w:p>
        </w:tc>
        <w:tc>
          <w:tcPr>
            <w:tcW w:type="dxa" w:w="6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Browser/server/admin clients, env reader, middleware session refresh.</w:t>
            </w:r>
          </w:p>
        </w:tc>
      </w:tr>
      <w:tr>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src/lib/security/</w:t>
            </w:r>
          </w:p>
        </w:tc>
        <w:tc>
          <w:tcPr>
            <w:tcW w:type="dxa" w:w="6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Rate limiter, WAF filter, security headers, config, request helpers.</w:t>
            </w:r>
          </w:p>
        </w:tc>
      </w:tr>
      <w:tr>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src/lib/offline/</w:t>
            </w:r>
          </w:p>
        </w:tc>
        <w:tc>
          <w:tcPr>
            <w:tcW w:type="dxa" w:w="6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IndexedDB outbox, cached reads, online hook.</w:t>
            </w:r>
          </w:p>
        </w:tc>
      </w:tr>
      <w:tr>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db/migrations/</w:t>
            </w:r>
          </w:p>
        </w:tc>
        <w:tc>
          <w:tcPr>
            <w:tcW w:type="dxa" w:w="6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0001–0045 ordered SQL: schema, functions, RLS, features.</w:t>
            </w:r>
          </w:p>
        </w:tc>
      </w:tr>
    </w:tbl>
    <w:p>
      <w:pPr>
        <w:pStyle w:val="Heading1"/>
      </w:pPr>
      <w:r>
        <w:t xml:space="preserve">3. Data Model</w:t>
      </w:r>
    </w:p>
    <w:p>
      <w:pPr>
        <w:pStyle w:val="Heading2"/>
      </w:pPr>
      <w:r>
        <w:t xml:space="preserve">3.1 The Ledger Principle</w:t>
      </w:r>
    </w:p>
    <w:p>
      <w:pPr>
        <w:spacing w:after="120"/>
      </w:pPr>
      <w:r>
        <w:t xml:space="preserve">The </w:t>
      </w:r>
      <w:r/>
      <w:r>
        <w:t xml:space="preserve"> table is an append-only ledger and the single source of truth for stock. </w:t>
      </w:r>
      <w:r/>
      <w:r>
        <w:t xml:space="preserve"> is a projection, mutated only by the locked </w:t>
      </w:r>
      <w:r/>
      <w:r>
        <w:t xml:space="preserve"> function under a row lock. There is no write policy on the ledger — not even for admins — so stock can change only through the audited SECURITY DEFINER gateway. This makes double-posting and last-write-wins corruption structurally impossible.</w:t>
      </w:r>
    </w:p>
    <w:p>
      <w:pPr>
        <w:pStyle w:val="Heading2"/>
      </w:pPr>
      <w:r>
        <w:t xml:space="preserve">3.2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Entity</w:t>
            </w:r>
          </w:p>
        </w:tc>
        <w:tc>
          <w:tcPr>
            <w:tcW w:type="dxa" w:w="3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Purpose</w:t>
            </w:r>
          </w:p>
        </w:tc>
        <w:tc>
          <w:tcPr>
            <w:tcW w:type="dxa" w:w="36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Key invariants</w:t>
            </w:r>
          </w:p>
        </w:tc>
      </w:tr>
      <w:tr>
        <w:tc>
          <w:tcPr>
            <w:tcW w:type="dxa" w:w="2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materials / products / warehouses</w:t>
            </w:r>
          </w:p>
        </w:tc>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Master data</w:t>
            </w:r>
          </w:p>
        </w:tc>
        <w:tc>
          <w:tcPr>
            <w:tcW w:type="dxa" w:w="36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Referential guards on delete; unique business keys.</w:t>
            </w:r>
          </w:p>
        </w:tc>
      </w:tr>
      <w:tr>
        <w:tc>
          <w:tcPr>
            <w:tcW w:type="dxa" w:w="2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formulas / formula_versions</w:t>
            </w:r>
          </w:p>
        </w:tc>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Versioned BOMs</w:t>
            </w:r>
          </w:p>
        </w:tc>
        <w:tc>
          <w:tcPr>
            <w:tcW w:type="dxa" w:w="36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Locked versions immutable; percent versions sum to 100.</w:t>
            </w:r>
          </w:p>
        </w:tc>
      </w:tr>
      <w:tr>
        <w:tc>
          <w:tcPr>
            <w:tcW w:type="dxa" w:w="2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inventory_lots</w:t>
            </w:r>
          </w:p>
        </w:tc>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Tracked stock</w:t>
            </w:r>
          </w:p>
        </w:tc>
        <w:tc>
          <w:tcPr>
            <w:tcW w:type="dxa" w:w="36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Quantity is a projection; status = available/quarantine/rejected.</w:t>
            </w:r>
          </w:p>
        </w:tc>
      </w:tr>
      <w:tr>
        <w:tc>
          <w:tcPr>
            <w:tcW w:type="dxa" w:w="2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stock_movements</w:t>
            </w:r>
          </w:p>
        </w:tc>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Append-only ledger</w:t>
            </w:r>
          </w:p>
        </w:tc>
        <w:tc>
          <w:tcPr>
            <w:tcW w:type="dxa" w:w="36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Immutable; typed (receipt/production/shipment/return/…).</w:t>
            </w:r>
          </w:p>
        </w:tc>
      </w:tr>
      <w:tr>
        <w:tc>
          <w:tcPr>
            <w:tcW w:type="dxa" w:w="2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production_orders</w:t>
            </w:r>
          </w:p>
        </w:tc>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Manufacturing</w:t>
            </w:r>
          </w:p>
        </w:tc>
        <w:tc>
          <w:tcPr>
            <w:tcW w:type="dxa" w:w="36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Atomic completion; FEFO consumption; halal-gated.</w:t>
            </w:r>
          </w:p>
        </w:tc>
      </w:tr>
      <w:tr>
        <w:tc>
          <w:tcPr>
            <w:tcW w:type="dxa" w:w="2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sales_orders / order_lines</w:t>
            </w:r>
          </w:p>
        </w:tc>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Distribution</w:t>
            </w:r>
          </w:p>
        </w:tc>
        <w:tc>
          <w:tcPr>
            <w:tcW w:type="dxa" w:w="36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Priced lines; shipped_quantity &amp; COGS accrue per line.</w:t>
            </w:r>
          </w:p>
        </w:tc>
      </w:tr>
      <w:tr>
        <w:tc>
          <w:tcPr>
            <w:tcW w:type="dxa" w:w="2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issued_documents</w:t>
            </w:r>
          </w:p>
        </w:tc>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Frozen documents</w:t>
            </w:r>
          </w:p>
        </w:tc>
        <w:tc>
          <w:tcPr>
            <w:tcW w:type="dxa" w:w="36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Immutable snapshot; gapless numbered; voidable-on-record.</w:t>
            </w:r>
          </w:p>
        </w:tc>
      </w:tr>
      <w:tr>
        <w:tc>
          <w:tcPr>
            <w:tcW w:type="dxa" w:w="2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invoice_payments / customer_receipts</w:t>
            </w:r>
          </w:p>
        </w:tc>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Cash</w:t>
            </w:r>
          </w:p>
        </w:tc>
        <w:tc>
          <w:tcPr>
            <w:tcW w:type="dxa" w:w="36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Under row lock; never exceed open balance.</w:t>
            </w:r>
          </w:p>
        </w:tc>
      </w:tr>
      <w:tr>
        <w:tc>
          <w:tcPr>
            <w:tcW w:type="dxa" w:w="2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bills / bill_payments</w:t>
            </w:r>
          </w:p>
        </w:tc>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Payables</w:t>
            </w:r>
          </w:p>
        </w:tc>
        <w:tc>
          <w:tcPr>
            <w:tcW w:type="dxa" w:w="36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Mirror of AR; feed three-way match.</w:t>
            </w:r>
          </w:p>
        </w:tc>
      </w:tr>
      <w:tr>
        <w:tc>
          <w:tcPr>
            <w:tcW w:type="dxa" w:w="2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purchase_orders</w:t>
            </w:r>
          </w:p>
        </w:tc>
        <w:tc>
          <w:tcPr>
            <w:tcW w:type="dxa" w:w="3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Procurement</w:t>
            </w:r>
          </w:p>
        </w:tc>
        <w:tc>
          <w:tcPr>
            <w:tcW w:type="dxa" w:w="36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Partial-receipt aware; receive → raw lot; three-way match.</w:t>
            </w:r>
          </w:p>
        </w:tc>
      </w:tr>
      <w:tr>
        <w:tc>
          <w:tcPr>
            <w:tcW w:type="dxa" w:w="2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app_users</w:t>
            </w:r>
          </w:p>
        </w:tc>
        <w:tc>
          <w:tcPr>
            <w:tcW w:type="dxa" w:w="3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RBAC</w:t>
            </w:r>
          </w:p>
        </w:tc>
        <w:tc>
          <w:tcPr>
            <w:tcW w:type="dxa" w:w="36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Maps auth.users → role; last-admin guard.</w:t>
            </w:r>
          </w:p>
        </w:tc>
      </w:tr>
    </w:tbl>
    <w:p>
      <w:pPr>
        <w:pStyle w:val="Heading2"/>
      </w:pPr>
      <w:r>
        <w:t xml:space="preserve">3.3 Single-Derivation Rule</w:t>
      </w:r>
    </w:p>
    <w:p>
      <w:pPr>
        <w:spacing w:after="120"/>
      </w:pPr>
      <w:r>
        <w:t xml:space="preserve">Derived financial views are computed once and reused everywhere so screens cannot disagree. </w:t>
      </w:r>
      <w:r/>
      <w:r>
        <w:t xml:space="preserve"> is the sole definition of an invoice's open balance (total − paid − allocated) and backs the order page, the documents register, and every aging report. </w:t>
      </w:r>
      <w:r/>
      <w:r>
        <w:t xml:space="preserve"> mirrors it for AP. Aging, statements, and exports all read these derivations rather than recomputing, so a change lands in exactly one place.</w:t>
      </w:r>
    </w:p>
    <w:p>
      <w:pPr>
        <w:pStyle w:val="Heading2"/>
      </w:pPr>
      <w:r>
        <w:t xml:space="preserve">3.4 Typed Database Layer</w:t>
      </w:r>
    </w:p>
    <w:p>
      <w:pPr>
        <w:spacing w:after="120"/>
      </w:pPr>
      <w:r>
        <w:t xml:space="preserve">A generated </w:t>
      </w:r>
      <w:r/>
      <w:r>
        <w:t xml:space="preserve"> type (</w:t>
      </w:r>
      <w:r/>
      <w:r>
        <w:t xml:space="preserve">) parameterizes every Supabase client (</w:t>
      </w:r>
      <w:r/>
      <w:r>
        <w:t xml:space="preserve">), so RPC calls and direct queries are schema-checked at compile time, including nested embeds via emitted FK Relationships. RPC JSON payloads (public/dashboard metrics) are parsed with Zod rather than asserted, so shape drift is logged and degrades gracefully instead of surfacing as NaNs.</w:t>
      </w:r>
    </w:p>
    <w:p>
      <w:pPr>
        <w:pStyle w:val="Heading1"/>
      </w:pPr>
      <w:r>
        <w:t xml:space="preserve">4. Key Algorithms &amp; Invariants</w:t>
      </w:r>
    </w:p>
    <w:p>
      <w:pPr>
        <w:pStyle w:val="Heading2"/>
      </w:pPr>
      <w:r>
        <w:t xml:space="preserve">4.1 Fixed-Precision Arithmetic</w:t>
      </w:r>
    </w:p>
    <w:p>
      <w:pPr>
        <w:spacing w:after="120"/>
      </w:pPr>
      <w:r>
        <w:t xml:space="preserve">All quantities, costs, and tax use decimal.js, never floating point. Unit conversion accounts for material density; percent-recipe scaling preserves exact sums (a 200-trial property test guards the invariant). This eliminates the rounding drift that would otherwise accumulate across a ledger.</w:t>
      </w:r>
    </w:p>
    <w:p>
      <w:pPr>
        <w:pStyle w:val="Heading2"/>
      </w:pPr>
      <w:r>
        <w:t xml:space="preserve">4.2 FEFO Consumption &amp; Shipment</w:t>
      </w:r>
    </w:p>
    <w:p>
      <w:pPr>
        <w:spacing w:after="120"/>
      </w:pPr>
      <w:r>
        <w:t xml:space="preserve">Both production consumption and sales shipment issue stock First-Expiry-First-Out through one shared primitive. Shipment cannot draw non-QC-released stock by construction, and realized COGS is frozen onto each line as it ships. Partial and per-line shipment share the same FEFO/COGS primitive as the greedy path, so figures cannot diverge between dispatch modes.</w:t>
      </w:r>
    </w:p>
    <w:p>
      <w:pPr>
        <w:pStyle w:val="Heading2"/>
      </w:pPr>
      <w:r>
        <w:t xml:space="preserve">4.3 Atomic Completion</w:t>
      </w:r>
    </w:p>
    <w:p>
      <w:pPr>
        <w:spacing w:after="120"/>
      </w:pPr>
      <w:r/>
      <w:r>
        <w:t xml:space="preserve"> (SECURITY DEFINER) runs the halal verdict, then consumes raw lots FEFO, yields a quarantined finished lot, and freezes a fully-loaded unit cost — all in one transaction. It is idempotent at the ledger: a retried or re-run completion does not double-consume. A blocked (non-compliant) completion is a clean no-op.</w:t>
      </w:r>
    </w:p>
    <w:p>
      <w:pPr>
        <w:pStyle w:val="Heading2"/>
      </w:pPr>
      <w:r>
        <w:t xml:space="preserve">4.4 Fully-Loaded Costing</w:t>
      </w:r>
    </w:p>
    <w:p>
      <w:pPr>
        <w:spacing w:after="120"/>
      </w:pPr>
      <w:r>
        <w:t xml:space="preserve">Completion layers labor (hours × rate) and overhead (rate × prime cost) on top of material cost, resolving rates through </w:t>
      </w:r>
      <w:r/>
      <w:r>
        <w:t xml:space="preserve"> as product-override → plant-wide → 0. The result is frozen as a snapshot; later rate edits never rewrite made batches. This loaded cost flows into shipment COGS and realized margin.</w:t>
      </w:r>
    </w:p>
    <w:p>
      <w:pPr>
        <w:pStyle w:val="Heading2"/>
      </w:pPr>
      <w:r>
        <w:t xml:space="preserve">4.5 Date-Aware Halal Verdict</w:t>
      </w:r>
    </w:p>
    <w:p>
      <w:pPr>
        <w:spacing w:after="120"/>
      </w:pPr>
      <w:r>
        <w:t xml:space="preserve">A formula version's verdict is derived from its components as of a date — compliant only when every input is certified and unexpired — by stable functions (</w:t>
      </w:r>
      <w:r/>
      <w:r>
        <w:t xml:space="preserve">, </w:t>
      </w:r>
      <w:r/>
      <w:r>
        <w:t xml:space="preserve">). Because it reads the recipe, it cannot drift from it. The verdict is a hard gate at completion and is surfaced (with offending inputs) in the wizard and order page before submit; an admin override is reason-required and recorded with an offending-input snapshot.</w:t>
      </w:r>
    </w:p>
    <w:p>
      <w:pPr>
        <w:pStyle w:val="Heading2"/>
      </w:pPr>
      <w:r>
        <w:t xml:space="preserve">4.6 Gapless Document Numbering</w:t>
      </w:r>
    </w:p>
    <w:p>
      <w:pPr>
        <w:spacing w:after="120"/>
      </w:pPr>
      <w:r>
        <w:t xml:space="preserve">Issuing a document assigns a year-scoped series number (</w:t>
      </w:r>
      <w:r/>
      <w:r>
        <w:t xml:space="preserve">) from a row-locked counter inside </w:t>
      </w:r>
      <w:r/>
      <w:r>
        <w:t xml:space="preserve"> — transactional and therefore gapless on rollback and serialized under concurrency (both proven in tests). The number is written into the frozen snapshot itself; the counter and its helper are owner-only and unreachable by clients.</w:t>
      </w:r>
    </w:p>
    <w:p>
      <w:pPr>
        <w:pStyle w:val="Heading1"/>
      </w:pPr>
      <w:r>
        <w:t xml:space="preserve">5. Authentication &amp; Authorization</w:t>
      </w:r>
    </w:p>
    <w:p>
      <w:pPr>
        <w:pStyle w:val="Heading2"/>
      </w:pPr>
      <w:r>
        <w:t xml:space="preserve">5.1 Identity</w:t>
      </w:r>
    </w:p>
    <w:p>
      <w:pPr>
        <w:spacing w:after="120"/>
      </w:pPr>
      <w:r>
        <w:t xml:space="preserve">Sign-in issues a Supabase-signed access + refresh JWT; RLS policies read its claims via </w:t>
      </w:r>
      <w:r/>
      <w:r>
        <w:t xml:space="preserve">. The app builds on this primitive rather than inventing a parallel token scheme. </w:t>
      </w:r>
      <w:r/>
      <w:r>
        <w:t xml:space="preserve"> keeps the session in cookies, refreshed in middleware on every request.</w:t>
      </w:r>
    </w:p>
    <w:p>
      <w:pPr>
        <w:pStyle w:val="Heading2"/>
      </w:pPr>
      <w:r>
        <w:t xml:space="preserve">5.2 Defense in Depth</w:t>
      </w:r>
    </w:p>
    <w:p>
      <w:pPr>
        <w:spacing w:after="120"/>
      </w:pPr>
      <w:r>
        <w:t xml:space="preserve">Authorization is enforced at three layers, with the innermost being authoritative:</w:t>
      </w:r>
    </w:p>
    <w:p>
      <w:pPr>
        <w:pStyle w:val="ListParagraph"/>
        <w:numPr>
          <w:ilvl w:val="0"/>
          <w:numId w:val="2"/>
        </w:numPr>
        <w:spacing w:after="60"/>
      </w:pPr>
      <w:r>
        <w:t xml:space="preserve">Middleware gates path prefixes (/app requires auth; /admin requires the admin role) and bounces signed-in users off /login. It may fail-open on a transient RPC error because the next layer is authoritative.</w:t>
      </w:r>
    </w:p>
    <w:p>
      <w:pPr>
        <w:pStyle w:val="ListParagraph"/>
        <w:numPr>
          <w:ilvl w:val="0"/>
          <w:numId w:val="2"/>
        </w:numPr>
        <w:spacing w:after="60"/>
      </w:pPr>
      <w:r>
        <w:t xml:space="preserve">Route handlers call apiAuth(role) first — a fast, explicit JSON 401/403/503 — so fetch callers get clean statuses. Admin is a superset of every clearance.</w:t>
      </w:r>
    </w:p>
    <w:p>
      <w:pPr>
        <w:pStyle w:val="ListParagraph"/>
        <w:numPr>
          <w:ilvl w:val="0"/>
          <w:numId w:val="2"/>
        </w:numPr>
        <w:spacing w:after="60"/>
      </w:pPr>
      <w:r>
        <w:t xml:space="preserve">RLS policies are the backstop: even if an upper layer were bypassed, the database refuses unauthorized rows. Privileged functions are granted to authenticated only (PUBLIC execute revoked, migration 0008).</w:t>
      </w:r>
    </w:p>
    <w:p>
      <w:pPr>
        <w:pStyle w:val="Heading2"/>
      </w:pPr>
      <w:r>
        <w:t xml:space="preserve">5.3 Role Resolution</w:t>
      </w:r>
    </w:p>
    <w:p>
      <w:pPr>
        <w:spacing w:after="120"/>
      </w:pPr>
      <w:r/>
      <w:r>
        <w:t xml:space="preserve"> is SECURITY DEFINER and granted to authenticated, so a signed-in user with no </w:t>
      </w:r>
      <w:r/>
      <w:r>
        <w:t xml:space="preserve"> row resolves to viewer (read-only). Server helpers (</w:t>
      </w:r>
      <w:r/>
      <w:r>
        <w:t xml:space="preserve">, request-deduped) seed a client session context; the service-role key lives only in one server-only module, constructed per request after apiAuth('admin') has already cleared the caller.</w:t>
      </w:r>
    </w:p>
    <w:p>
      <w:pPr>
        <w:pStyle w:val="Heading1"/>
      </w:pPr>
      <w:r>
        <w:t xml:space="preserve">6. Security Hardening Layer (v0.50)</w:t>
      </w:r>
    </w:p>
    <w:p>
      <w:pPr>
        <w:spacing w:after="120"/>
      </w:pPr>
      <w:r>
        <w:t xml:space="preserve">An edge security layer sits in front of the auth/RLS core, entirely in src/lib/security and wired through middleware.ts. Each piece is independently switchable by environment and degrades to pre-v0.50 behaviour when unconfigured.</w:t>
      </w:r>
    </w:p>
    <w:p>
      <w:pPr>
        <w:pStyle w:val="Heading2"/>
      </w:pPr>
      <w:r>
        <w:t xml:space="preserve">6.1 Rate Limiting</w:t>
      </w:r>
    </w:p>
    <w:p>
      <w:pPr>
        <w:spacing w:after="120"/>
      </w:pPr>
      <w:r>
        <w:t xml:space="preserve">A fixed-window limiter with two interchangeable backends chosen per call. In-memory by default (a module-level Map, edge-runtime safe) — zero config but per-instance. When </w:t>
      </w:r>
      <w:r/>
      <w:r>
        <w:t xml:space="preserve"> are present it upgrades automatically to Upstash Redis (INCR + PEXPIRE over the REST pipeline), durable and shared across instances — no code change. The middleware applies a broad per-IP throttle to </w:t>
      </w:r>
      <w:r/>
      <w:r>
        <w:t xml:space="preserve"> (120/min) and a tighter one to auth pages (30/min); mail/account endpoints add 10/min per-route caps via </w:t>
      </w:r>
      <w:r/>
      <w:r>
        <w:t xml:space="preserve">. Over-limit returns 429 with RateLimit-* and Retry-After. An Upstash error fails open to in-memory and logs.</w:t>
      </w:r>
    </w:p>
    <w:p>
      <w:pPr>
        <w:pStyle w:val="Heading2"/>
      </w:pPr>
      <w:r>
        <w:t xml:space="preserve">6.2 CAPTCHA</w:t>
      </w:r>
    </w:p>
    <w:p>
      <w:pPr>
        <w:spacing w:after="120"/>
      </w:pPr>
      <w:r>
        <w:t xml:space="preserve">Cloudflare Turnstile renders on login only when </w:t>
      </w:r>
      <w:r/>
      <w:r>
        <w:t xml:space="preserve"> is set; its token is passed to Supabase Auth as </w:t>
      </w:r>
      <w:r/>
      <w:r>
        <w:t xml:space="preserve"> and verified server-side by Supabase with the secret key held in the Supabase dashboard. The app renders the challenge but never handles the secret. Tokens are single-use; a failed sign-in resets the widget.</w:t>
      </w:r>
    </w:p>
    <w:p>
      <w:pPr>
        <w:pStyle w:val="Heading2"/>
      </w:pPr>
      <w:r>
        <w:t xml:space="preserve">6.3 Application-Layer WAF</w:t>
      </w:r>
    </w:p>
    <w:p>
      <w:pPr>
        <w:spacing w:after="120"/>
      </w:pPr>
      <w:r>
        <w:t xml:space="preserve">Two always-on parts (toggle with SECURITY_WAF=off):</w:t>
      </w:r>
    </w:p>
    <w:p>
      <w:pPr>
        <w:pStyle w:val="ListParagraph"/>
        <w:numPr>
          <w:ilvl w:val="0"/>
          <w:numId w:val="3"/>
        </w:numPr>
        <w:spacing w:after="60"/>
      </w:pPr>
      <w:r>
        <w:t xml:space="preserve">Security headers on every response: a nonce-based Content-Security-Policy (a per-request nonce is threaded onto the request so Next.js stamps its own inline scripts and the single theme script opts in; un-nonced injected scripts cannot execute), plus HSTS, X-Frame-Options: DENY / frame-ancestors 'none', X-Content-Type-Options: nosniff, and a lean Referrer- and Permissions-Policy. Only the Turnstile origin and the configured Supabase origin (https + wss) are allow-listed.</w:t>
      </w:r>
    </w:p>
    <w:p>
      <w:pPr>
        <w:pStyle w:val="ListParagraph"/>
        <w:numPr>
          <w:ilvl w:val="0"/>
          <w:numId w:val="3"/>
        </w:numPr>
        <w:spacing w:after="60"/>
      </w:pPr>
      <w:r>
        <w:t xml:space="preserve">A request filter that sheds path traversal (raw and %2e%2e), null bytes, reflected-XSS payloads, and secret-file scanner probes (.env, .git, wp-login.php), tuned for zero false positives on real traffic (UUIDs, ISO dates, ordinary query params pass). It is a backstop, not a replacement for validation, which stays as Zod + parameterized SQL + RLS.</w:t>
      </w:r>
    </w:p>
    <w:p>
      <w:pPr>
        <w:pStyle w:val="Heading2"/>
      </w:pPr>
      <w:r>
        <w:t xml:space="preserve">6.4 Deploy Behind a Network WAF</w:t>
      </w:r>
    </w:p>
    <w:p>
      <w:pPr>
        <w:spacing w:after="120"/>
      </w:pPr>
      <w:r>
        <w:t xml:space="preserve">The app-layer pieces are a portable backstop, not a substitute for a network WAF. Production should front the app with Cloudflare / Vercel WAF / AWS WAF + Shield for volumetric and DDoS protection, and set UPSTASH_* so limits are shared across instances.</w:t>
      </w:r>
    </w:p>
    <w:p>
      <w:pPr>
        <w:pStyle w:val="Heading1"/>
      </w:pPr>
      <w:r>
        <w:t xml:space="preserve">7. API &amp; Server Design</w:t>
      </w:r>
    </w:p>
    <w:p>
      <w:pPr>
        <w:pStyle w:val="Heading2"/>
      </w:pPr>
      <w:r>
        <w:t xml:space="preserve">7.1 Route Handler Contract</w:t>
      </w:r>
    </w:p>
    <w:p>
      <w:pPr>
        <w:spacing w:after="120"/>
      </w:pPr>
      <w:r>
        <w:t xml:space="preserve">Every mutating endpoint follows the same shape: optional per-route rate-limit gate → </w:t>
      </w:r>
      <w:r/>
      <w:r>
        <w:t xml:space="preserve"> → Zod validation of the body → server orchestration → a </w:t>
      </w:r>
      <w:r/>
      <w:r>
        <w:t xml:space="preserve"> JSON envelope with honest HTTP statuses. A shared client wrapper (</w:t>
      </w:r>
      <w:r/>
      <w:r>
        <w:t xml:space="preserve">) and error narrower live once in </w:t>
      </w:r>
      <w:r/>
      <w:r>
        <w:t xml:space="preserve">.</w:t>
      </w:r>
    </w:p>
    <w:p>
      <w:pPr>
        <w:pStyle w:val="Heading2"/>
      </w:pPr>
      <w:r>
        <w:t xml:space="preserve">7.2 Error Mapping</w:t>
      </w:r>
    </w:p>
    <w:p>
      <w:pPr>
        <w:spacing w:after="120"/>
      </w:pPr>
      <w:r>
        <w:t xml:space="preserve">PostgreSQL errors map to a single status contract in </w:t>
      </w:r>
      <w:r/>
      <w:r>
        <w:t xml:space="preserve"> (</w:t>
      </w:r>
      <w:r/>
      <w:r>
        <w:t xml:space="preserve">): 42501→403, P0002→404, P0001→409, otherwise 500 — with each module supplying domain-specific messages. Constraint errors (unique / FK / not-null) map separately in the CRUD layer (duplicate→409, still-referenced→409).</w:t>
      </w:r>
    </w:p>
    <w:p>
      <w:pPr>
        <w:pStyle w:val="Heading2"/>
      </w:pPr>
      <w:r>
        <w:t xml:space="preserve">7.3 Read-Route Resilience</w:t>
      </w:r>
    </w:p>
    <w:p>
      <w:pPr>
        <w:spacing w:after="120"/>
      </w:pPr>
      <w:r>
        <w:t xml:space="preserve">Read routes wrap database calls in try/catch with structured logging, returning a clean 502 if the database is unreachable rather than an unhandled rejection — matching the error discipline of the write paths.</w:t>
      </w:r>
    </w:p>
    <w:p>
      <w:pPr>
        <w:pStyle w:val="Heading1"/>
      </w:pPr>
      <w:r>
        <w:t xml:space="preserve">8. Offline &amp; PWA Design</w:t>
      </w:r>
    </w:p>
    <w:p>
      <w:pPr>
        <w:spacing w:after="120"/>
      </w:pPr>
      <w:r>
        <w:t xml:space="preserve">Operational reads are cached and operational capture (production / QC) is queued in an IndexedDB write outbox that auto-replays on reconnect. Catalog edits that need immediate server validation (unique keys, in-use checks) deliberately bypass the outbox to avoid last-write-wins conflicts. A service worker provides the installable PWA shell; the offline banner and </w:t>
      </w:r>
      <w:r/>
      <w:r>
        <w:t xml:space="preserve"> provide consistent loading/empty/error states.</w:t>
      </w:r>
    </w:p>
    <w:p>
      <w:pPr>
        <w:pStyle w:val="Heading1"/>
      </w:pPr>
      <w:r>
        <w:t xml:space="preserve">9. Front-End Design</w:t>
      </w:r>
    </w:p>
    <w:p>
      <w:pPr>
        <w:pStyle w:val="ListParagraph"/>
        <w:numPr>
          <w:ilvl w:val="0"/>
          <w:numId w:val="3"/>
        </w:numPr>
        <w:spacing w:after="60"/>
      </w:pPr>
      <w:r>
        <w:t xml:space="preserve">App Router with server components for data-bearing pages and client components for interactive editors; a request-deduped session/role context adapts the nav to clearance.</w:t>
      </w:r>
    </w:p>
    <w:p>
      <w:pPr>
        <w:pStyle w:val="ListParagraph"/>
        <w:numPr>
          <w:ilvl w:val="0"/>
          <w:numId w:val="3"/>
        </w:numPr>
        <w:spacing w:after="60"/>
      </w:pPr>
      <w:r>
        <w:t xml:space="preserve">A single generic, config-driven DataTable renders as a table on desktop and stacks into labelled cards on mobile; one ResourceManager component drives three master-data screens from field/column configs.</w:t>
      </w:r>
    </w:p>
    <w:p>
      <w:pPr>
        <w:pStyle w:val="ListParagraph"/>
        <w:numPr>
          <w:ilvl w:val="0"/>
          <w:numId w:val="3"/>
        </w:numPr>
        <w:spacing w:after="60"/>
      </w:pPr>
      <w:r>
        <w:t xml:space="preserve">Charts are hand-rolled SVG/CSS (no charting library) and respect prefers-reduced-motion; theming is driven by CSS variables and a data-theme toggle applied before first paint.</w:t>
      </w:r>
    </w:p>
    <w:p>
      <w:pPr>
        <w:pStyle w:val="Heading1"/>
      </w:pPr>
      <w:r>
        <w:t xml:space="preserve">10. Testing Strategy</w:t>
      </w:r>
    </w:p>
    <w:p>
      <w:pPr>
        <w:spacing w:after="120"/>
      </w:pPr>
      <w:r>
        <w:t xml:space="preserve">The release ships a comprehensive automated suite (310 tests, all passing):</w:t>
      </w:r>
    </w:p>
    <w:p>
      <w:pPr>
        <w:pStyle w:val="ListParagraph"/>
        <w:numPr>
          <w:ilvl w:val="0"/>
          <w:numId w:val="3"/>
        </w:numPr>
        <w:spacing w:after="60"/>
      </w:pPr>
      <w:r>
        <w:t xml:space="preserve">Domain unit tests: pure math — unit conversion with density, exact-sum scaling, a 200-trial property test.</w:t>
      </w:r>
    </w:p>
    <w:p>
      <w:pPr>
        <w:pStyle w:val="ListParagraph"/>
        <w:numPr>
          <w:ilvl w:val="0"/>
          <w:numId w:val="3"/>
        </w:numPr>
        <w:spacing w:after="60"/>
      </w:pPr>
      <w:r>
        <w:t xml:space="preserve">Integration tests against live PostgreSQL: integrity functions, RLS clearance (admin succeeds, viewer denied 42501), FEFO/costing, gapless numbering under concurrency, halal gate, guards.</w:t>
      </w:r>
    </w:p>
    <w:p>
      <w:pPr>
        <w:pStyle w:val="ListParagraph"/>
        <w:numPr>
          <w:ilvl w:val="0"/>
          <w:numId w:val="3"/>
        </w:numPr>
        <w:spacing w:after="60"/>
      </w:pPr>
      <w:r>
        <w:t xml:space="preserve">Security-layer unit tests (16): WAF filter (real traffic passes, attack shapes blocked), rate limiter (permit-then-429, independent windows, reset, headers), CSP/headers builder (nonce binding, allow-listing, HSTS toggle).</w:t>
      </w:r>
    </w:p>
    <w:p>
      <w:pPr>
        <w:pStyle w:val="ListParagraph"/>
        <w:numPr>
          <w:ilvl w:val="0"/>
          <w:numId w:val="3"/>
        </w:numPr>
        <w:spacing w:after="60"/>
      </w:pPr>
      <w:r>
        <w:t xml:space="preserve">End-to-end (Cypress): landing, theme persistence, access-redirect, sign-in; plus component specs.</w:t>
      </w:r>
    </w:p>
    <w:p>
      <w:pPr>
        <w:spacing w:after="120"/>
      </w:pPr>
      <w:r>
        <w:t xml:space="preserve">Verified-in-sandbox vs. needs-your-environment is documented per release: live email delivery, live CAPTCHA, and Upstash-backed limiting require the corresponding project credentials; the in-memory path, headers, filter, schema, and build are verified in-suite.</w:t>
      </w:r>
    </w:p>
    <w:p>
      <w:pPr>
        <w:pStyle w:val="Heading1"/>
      </w:pPr>
      <w:r>
        <w:t xml:space="preserve">11. Build &amp; Deployment</w:t>
      </w:r>
    </w:p>
    <w:p>
      <w:pPr>
        <w:spacing w:after="120"/>
      </w:pPr>
      <w:r>
        <w:t xml:space="preserve">The app builds with </w:t>
      </w:r>
      <w:r/>
      <w:r>
        <w:t xml:space="preserve"> and deploys to Vercel (or equivalent). The database schema is provisioned either via </w:t>
      </w:r>
      <w:r/>
      <w:r>
        <w:t xml:space="preserve"> (ordered migrations through the pg driver, cross-platform, no psql required) or by pasting the single bundled </w:t>
      </w:r>
      <w:r/>
      <w:r>
        <w:t xml:space="preserve"> into the Supabase SQL editor. NEXT_PUBLIC_* values are baked at build time (redeploy on change); server-only secrets (service-role, SMTP password, Upstash token) are runtime env. Full steps are in the Handover Document and DEPLOYMENT.md.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2" w:sz="4" w:space="4"/>
      </w:pBdr>
      <w:tabs>
        <w:tab w:val="right" w:pos="9360"/>
      </w:tabs>
    </w:pPr>
    <w:r>
      <w:rPr>
        <w:color w:val="555555"/>
        <w:sz w:val="16"/>
        <w:szCs w:val="16"/>
      </w:rPr>
      <w:t xml:space="preserve">Confidential · TechnicoFlor (TFI)</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2" w:sz="4" w:space="4"/>
      </w:pBdr>
      <w:tabs>
        <w:tab w:val="right" w:pos="9360"/>
      </w:tabs>
    </w:pPr>
    <w:r>
      <w:rPr>
        <w:b/>
        <w:bCs/>
        <w:color w:val="1B5E32"/>
        <w:sz w:val="16"/>
        <w:szCs w:val="16"/>
      </w:rPr>
      <w:t xml:space="preserve">TechnicoFlor — Perfume ERP</w:t>
    </w:r>
    <w:r>
      <w:rPr>
        <w:color w:val="555555"/>
        <w:sz w:val="16"/>
        <w:szCs w:val="16"/>
      </w:rPr>
      <w:t xml:space="preserve">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Calibri" w:cs="Calibri" w:eastAsia="Calibri" w:hAnsi="Calibri"/>
      <w:b/>
      <w:bCs/>
      <w:color w:val="1B5E32"/>
      <w:sz w:val="56"/>
      <w:szCs w:val="56"/>
    </w:rPr>
  </w:style>
  <w:style w:type="paragraph" w:styleId="Subtitle">
    <w:name w:val="Subtitle"/>
    <w:basedOn w:val="Normal"/>
    <w:next w:val="Normal"/>
    <w:pPr>
      <w:spacing w:after="60" w:before="0"/>
    </w:pPr>
    <w:rPr>
      <w:rFonts w:ascii="Calibri" w:cs="Calibri" w:eastAsia="Calibri" w:hAnsi="Calibri"/>
      <w:color w:val="555555"/>
      <w:sz w:val="26"/>
      <w:szCs w:val="26"/>
    </w:rPr>
  </w:style>
  <w:style w:type="paragraph" w:styleId="Heading1">
    <w:name w:val="Heading 1"/>
    <w:basedOn w:val="Normal"/>
    <w:next w:val="Normal"/>
    <w:qFormat/>
    <w:pPr>
      <w:pBdr>
        <w:bottom w:val="single" w:color="2E7D46" w:sz="6" w:space="4"/>
      </w:pBdr>
      <w:spacing w:after="140" w:before="320"/>
      <w:outlineLvl w:val="0"/>
    </w:pPr>
    <w:rPr>
      <w:rFonts w:ascii="Calibri" w:cs="Calibri" w:eastAsia="Calibri" w:hAnsi="Calibri"/>
      <w:b/>
      <w:bCs/>
      <w:color w:val="1B5E32"/>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D4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A1A1A"/>
      <w:sz w:val="22"/>
      <w:szCs w:val="22"/>
    </w:rPr>
  </w:style>
  <w:style w:type="paragraph" w:styleId="Normal">
    <w:name w:val="Normal"/>
    <w:pPr>
      <w:spacing w:after="120" w:line="276"/>
    </w:pPr>
    <w:rPr>
      <w:rFonts w:ascii="Calibri" w:cs="Calibri" w:eastAsia="Calibri" w:hAnsi="Calibri"/>
      <w:sz w:val="21"/>
      <w:szCs w:val="21"/>
    </w:rPr>
  </w:style>
  <w:style w:type="paragraph" w:styleId="Caption">
    <w:name w:val="Caption"/>
    <w:basedOn w:val="Normal"/>
    <w:next w:val="Normal"/>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creator>TechnicoFlor</dc:creator>
  <dc:description>Perfume ERP — Manufacturing &amp; Distribution System</dc:description>
  <cp:lastModifiedBy>Un-named</cp:lastModifiedBy>
  <cp:revision>1</cp:revision>
  <dcterms:created xsi:type="dcterms:W3CDTF">2026-07-08T01:37:56.984Z</dcterms:created>
  <dcterms:modified xsi:type="dcterms:W3CDTF">2026-07-08T01:37:56.984Z</dcterms:modified>
</cp:coreProperties>
</file>

<file path=docProps/custom.xml><?xml version="1.0" encoding="utf-8"?>
<Properties xmlns="http://schemas.openxmlformats.org/officeDocument/2006/custom-properties" xmlns:vt="http://schemas.openxmlformats.org/officeDocument/2006/docPropsVTypes"/>
</file>