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2E7D46"/>
          <w:sz w:val="24"/>
          <w:szCs w:val="24"/>
        </w:rPr>
        <w:t xml:space="preserve">TechnicoFlor (TFI)</w:t>
      </w:r>
    </w:p>
    <w:p>
      <w:pPr>
        <w:pStyle w:val="Title"/>
        <w:spacing w:after="60" w:before="60"/>
      </w:pPr>
      <w:r>
        <w:t xml:space="preserve">Handover Document</w:t>
      </w:r>
    </w:p>
    <w:p>
      <w:pPr>
        <w:pStyle w:val="Subtitle"/>
      </w:pPr>
      <w:r>
        <w:t xml:space="preserve">Perfume ERP — Manufacturing &amp; Distribution System</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Field</w:t>
            </w:r>
          </w:p>
        </w:tc>
        <w:tc>
          <w:tcPr>
            <w:tcW w:type="dxa" w:w="676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Value</w:t>
            </w:r>
          </w:p>
        </w:tc>
      </w:tr>
      <w:tr>
        <w:tc>
          <w:tcPr>
            <w:tcW w:type="dxa" w:w="26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Document type</w:t>
            </w:r>
          </w:p>
        </w:tc>
        <w:tc>
          <w:tcPr>
            <w:tcW w:type="dxa" w:w="67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Project Handover Document</w:t>
            </w:r>
          </w:p>
        </w:tc>
      </w:tr>
      <w:tr>
        <w:tc>
          <w:tcPr>
            <w:tcW w:type="dxa" w:w="26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Product</w:t>
            </w:r>
          </w:p>
        </w:tc>
        <w:tc>
          <w:tcPr>
            <w:tcW w:type="dxa" w:w="67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Perfume ERP — Manufacturing &amp; Distribution System</w:t>
            </w:r>
          </w:p>
        </w:tc>
      </w:tr>
      <w:tr>
        <w:tc>
          <w:tcPr>
            <w:tcW w:type="dxa" w:w="26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Version</w:t>
            </w:r>
          </w:p>
        </w:tc>
        <w:tc>
          <w:tcPr>
            <w:tcW w:type="dxa" w:w="67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0.50.0</w:t>
            </w:r>
          </w:p>
        </w:tc>
      </w:tr>
      <w:tr>
        <w:tc>
          <w:tcPr>
            <w:tcW w:type="dxa" w:w="26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Status</w:t>
            </w:r>
          </w:p>
        </w:tc>
        <w:tc>
          <w:tcPr>
            <w:tcW w:type="dxa" w:w="67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Released</w:t>
            </w:r>
          </w:p>
        </w:tc>
      </w:tr>
      <w:tr>
        <w:tc>
          <w:tcPr>
            <w:tcW w:type="dxa" w:w="26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Date</w:t>
            </w:r>
          </w:p>
        </w:tc>
        <w:tc>
          <w:tcPr>
            <w:tcW w:type="dxa" w:w="67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8 July 2026</w:t>
            </w:r>
          </w:p>
        </w:tc>
      </w:tr>
      <w:tr>
        <w:tc>
          <w:tcPr>
            <w:tcW w:type="dxa" w:w="26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Document owner</w:t>
            </w:r>
          </w:p>
        </w:tc>
        <w:tc>
          <w:tcPr>
            <w:tcW w:type="dxa" w:w="67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TechnicoFlor Engineering</w:t>
            </w:r>
          </w:p>
        </w:tc>
      </w:tr>
      <w:tr>
        <w:tc>
          <w:tcPr>
            <w:tcW w:type="dxa" w:w="26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Classification</w:t>
            </w:r>
          </w:p>
        </w:tc>
        <w:tc>
          <w:tcPr>
            <w:tcW w:type="dxa" w:w="67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Confidential</w:t>
            </w:r>
          </w:p>
        </w:tc>
      </w:tr>
    </w:tbl>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t xml:space="preserve">This Handover Document transfers operational ownership of the TechnicoFlor Perfume ERP to the receiving team. It covers what the system is, how it is configured and deployed, how to run day-to-day administration, how to maintain and recover it, its known limitations, and where to go next. It assumes the reader will operate and maintain the system; deeper implementation detail is in the Technical Design Document.</w:t>
      </w:r>
    </w:p>
    <w:p>
      <w:pPr>
        <w:pStyle w:val="Heading2"/>
      </w:pPr>
      <w:r>
        <w:t xml:space="preserve">1.2 System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Attribute</w:t>
            </w:r>
          </w:p>
        </w:tc>
        <w:tc>
          <w:tcPr>
            <w:tcW w:type="dxa" w:w="656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Value</w:t>
            </w:r>
          </w:p>
        </w:tc>
      </w:tr>
      <w:tr>
        <w:tc>
          <w:tcPr>
            <w:tcW w:type="dxa" w:w="28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Product</w:t>
            </w:r>
          </w:p>
        </w:tc>
        <w:tc>
          <w:tcPr>
            <w:tcW w:type="dxa" w:w="65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Perfume ERP — Manufacturing &amp; Distribution System</w:t>
            </w:r>
          </w:p>
        </w:tc>
      </w:tr>
      <w:tr>
        <w:tc>
          <w:tcPr>
            <w:tcW w:type="dxa" w:w="28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Version handed over</w:t>
            </w:r>
          </w:p>
        </w:tc>
        <w:tc>
          <w:tcPr>
            <w:tcW w:type="dxa" w:w="65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0.50.0</w:t>
            </w:r>
          </w:p>
        </w:tc>
      </w:tr>
      <w:tr>
        <w:tc>
          <w:tcPr>
            <w:tcW w:type="dxa" w:w="28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Stack</w:t>
            </w:r>
          </w:p>
        </w:tc>
        <w:tc>
          <w:tcPr>
            <w:tcW w:type="dxa" w:w="65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Next.js 14 + Supabase (PostgreSQL), offline PWA</w:t>
            </w:r>
          </w:p>
        </w:tc>
      </w:tr>
      <w:tr>
        <w:tc>
          <w:tcPr>
            <w:tcW w:type="dxa" w:w="28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Hosting</w:t>
            </w:r>
          </w:p>
        </w:tc>
        <w:tc>
          <w:tcPr>
            <w:tcW w:type="dxa" w:w="65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Vercel (or equivalent Next.js host)</w:t>
            </w:r>
          </w:p>
        </w:tc>
      </w:tr>
      <w:tr>
        <w:tc>
          <w:tcPr>
            <w:tcW w:type="dxa" w:w="28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Database / Auth</w:t>
            </w:r>
          </w:p>
        </w:tc>
        <w:tc>
          <w:tcPr>
            <w:tcW w:type="dxa" w:w="65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Supabase (managed PostgreSQL + GoTrue auth + RLS)</w:t>
            </w:r>
          </w:p>
        </w:tc>
      </w:tr>
      <w:tr>
        <w:tc>
          <w:tcPr>
            <w:tcW w:type="dxa" w:w="28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Optional services</w:t>
            </w:r>
          </w:p>
        </w:tc>
        <w:tc>
          <w:tcPr>
            <w:tcW w:type="dxa" w:w="65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SMTP (email), Cloudflare Turnstile (CAPTCHA), Upstash Redis (rate limiting)</w:t>
            </w:r>
          </w:p>
        </w:tc>
      </w:tr>
      <w:tr>
        <w:tc>
          <w:tcPr>
            <w:tcW w:type="dxa" w:w="28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Repository artifacts</w:t>
            </w:r>
          </w:p>
        </w:tc>
        <w:tc>
          <w:tcPr>
            <w:tcW w:type="dxa" w:w="65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Source zip, bundled schema SQL, DEPLOYMENT.md, ENV_CHECKLIST.md, this document set</w:t>
            </w:r>
          </w:p>
        </w:tc>
      </w:tr>
      <w:tr>
        <w:tc>
          <w:tcPr>
            <w:tcW w:type="dxa" w:w="28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Test suite</w:t>
            </w:r>
          </w:p>
        </w:tc>
        <w:tc>
          <w:tcPr>
            <w:tcW w:type="dxa" w:w="65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310 automated tests (unit, integration, E2E)</w:t>
            </w:r>
          </w:p>
        </w:tc>
      </w:tr>
    </w:tbl>
    <w:p>
      <w:pPr>
        <w:pStyle w:val="Heading1"/>
      </w:pPr>
      <w:r>
        <w:t xml:space="preserve">2. Functional Overview</w:t>
      </w:r>
    </w:p>
    <w:p>
      <w:pPr>
        <w:spacing w:after="120"/>
      </w:pPr>
      <w:r>
        <w:t xml:space="preserve">The system runs the full operational lifecycle of a fragrance manufacturer. The functional footprint handed over is complete against the product roadmap:</w:t>
      </w:r>
    </w:p>
    <w:p>
      <w:pPr>
        <w:pStyle w:val="ListParagraph"/>
        <w:numPr>
          <w:ilvl w:val="0"/>
          <w:numId w:val="2"/>
        </w:numPr>
        <w:spacing w:after="60"/>
      </w:pPr>
      <w:r>
        <w:t xml:space="preserve">Master data: materials, products, warehouses, customers, suppliers (with NPWP).</w:t>
      </w:r>
    </w:p>
    <w:p>
      <w:pPr>
        <w:pStyle w:val="ListParagraph"/>
        <w:numPr>
          <w:ilvl w:val="0"/>
          <w:numId w:val="2"/>
        </w:numPr>
        <w:spacing w:after="60"/>
      </w:pPr>
      <w:r>
        <w:t xml:space="preserve">Formulas: versioned BOMs with one-way locking and a percent-sum invariant.</w:t>
      </w:r>
    </w:p>
    <w:p>
      <w:pPr>
        <w:pStyle w:val="ListParagraph"/>
        <w:numPr>
          <w:ilvl w:val="0"/>
          <w:numId w:val="2"/>
        </w:numPr>
        <w:spacing w:after="60"/>
      </w:pPr>
      <w:r>
        <w:t xml:space="preserve">Production &amp; QC: exploded-BOM preview, atomic FEFO completion, pass/pending/fail QC.</w:t>
      </w:r>
    </w:p>
    <w:p>
      <w:pPr>
        <w:pStyle w:val="ListParagraph"/>
        <w:numPr>
          <w:ilvl w:val="0"/>
          <w:numId w:val="2"/>
        </w:numPr>
        <w:spacing w:after="60"/>
      </w:pPr>
      <w:r>
        <w:t xml:space="preserve">Inventory: append-only ledger, lot genealogy, status/value dashboards.</w:t>
      </w:r>
    </w:p>
    <w:p>
      <w:pPr>
        <w:pStyle w:val="ListParagraph"/>
        <w:numPr>
          <w:ilvl w:val="0"/>
          <w:numId w:val="2"/>
        </w:numPr>
        <w:spacing w:after="60"/>
      </w:pPr>
      <w:r>
        <w:t xml:space="preserve">Costing: fully-loaded (material + labor + overhead), per-product rate overrides.</w:t>
      </w:r>
    </w:p>
    <w:p>
      <w:pPr>
        <w:pStyle w:val="ListParagraph"/>
        <w:numPr>
          <w:ilvl w:val="0"/>
          <w:numId w:val="2"/>
        </w:numPr>
        <w:spacing w:after="60"/>
      </w:pPr>
      <w:r>
        <w:t xml:space="preserve">Halal (SJPH): hard, date-aware production gate with logged admin override.</w:t>
      </w:r>
    </w:p>
    <w:p>
      <w:pPr>
        <w:pStyle w:val="ListParagraph"/>
        <w:numPr>
          <w:ilvl w:val="0"/>
          <w:numId w:val="2"/>
        </w:numPr>
        <w:spacing w:after="60"/>
      </w:pPr>
      <w:r>
        <w:t xml:space="preserve">Distribution: sales orders, full/partial/per-line FEFO shipment, returns with restock &amp; credit.</w:t>
      </w:r>
    </w:p>
    <w:p>
      <w:pPr>
        <w:pStyle w:val="ListParagraph"/>
        <w:numPr>
          <w:ilvl w:val="0"/>
          <w:numId w:val="2"/>
        </w:numPr>
        <w:spacing w:after="60"/>
      </w:pPr>
      <w:r>
        <w:t xml:space="preserve">Documents: invoice / packing slip / credit note — print, PDF, gapless numbering, issued archive, emailing, void-on-record.</w:t>
      </w:r>
    </w:p>
    <w:p>
      <w:pPr>
        <w:pStyle w:val="ListParagraph"/>
        <w:numPr>
          <w:ilvl w:val="0"/>
          <w:numId w:val="2"/>
        </w:numPr>
        <w:spacing w:after="60"/>
      </w:pPr>
      <w:r>
        <w:t xml:space="preserve">Receivables &amp; payables: payments, aging, statements (aged + running account), credit-note allocation, cash application, three-way match.</w:t>
      </w:r>
    </w:p>
    <w:p>
      <w:pPr>
        <w:pStyle w:val="ListParagraph"/>
        <w:numPr>
          <w:ilvl w:val="0"/>
          <w:numId w:val="2"/>
        </w:numPr>
        <w:spacing w:after="60"/>
      </w:pPr>
      <w:r>
        <w:t xml:space="preserve">Procurement: purchase orders, goods receipt into inventory, billing.</w:t>
      </w:r>
    </w:p>
    <w:p>
      <w:pPr>
        <w:pStyle w:val="ListParagraph"/>
        <w:numPr>
          <w:ilvl w:val="0"/>
          <w:numId w:val="2"/>
        </w:numPr>
        <w:spacing w:after="60"/>
      </w:pPr>
      <w:r>
        <w:t xml:space="preserve">Tax: PPN, per-customer pricing, tax report, Faktur Pajak line list + CSV.</w:t>
      </w:r>
    </w:p>
    <w:p>
      <w:pPr>
        <w:pStyle w:val="ListParagraph"/>
        <w:numPr>
          <w:ilvl w:val="0"/>
          <w:numId w:val="2"/>
        </w:numPr>
        <w:spacing w:after="60"/>
      </w:pPr>
      <w:r>
        <w:t xml:space="preserve">Administration: user/role management, account lifecycle, unified email history.</w:t>
      </w:r>
    </w:p>
    <w:p>
      <w:pPr>
        <w:pStyle w:val="ListParagraph"/>
        <w:numPr>
          <w:ilvl w:val="0"/>
          <w:numId w:val="2"/>
        </w:numPr>
        <w:spacing w:after="60"/>
      </w:pPr>
      <w:r>
        <w:t xml:space="preserve">Security (v0.50): rate limiting, CAPTCHA, application-layer WAF + security headers.</w:t>
      </w:r>
    </w:p>
    <w:p>
      <w:pPr>
        <w:pStyle w:val="Heading1"/>
      </w:pPr>
      <w:r>
        <w:t xml:space="preserve">3. Environment &amp; Configuration</w:t>
      </w:r>
    </w:p>
    <w:p>
      <w:pPr>
        <w:pStyle w:val="Heading2"/>
      </w:pPr>
      <w:r>
        <w:t xml:space="preserve">3.1 Configuration Model</w:t>
      </w:r>
    </w:p>
    <w:p>
      <w:pPr>
        <w:spacing w:after="120"/>
      </w:pPr>
      <w:r>
        <w:t xml:space="preserve">The system is configured entirely through environment variables. Only two are required (Supabase URL + anon key); everything else is optional and its feature degrades gracefully when unset. NEXT_PUBLIC_* variables are baked into the client at build time — changing them requires a redeploy. Server-only secrets are read at runtime and must never carry a NEXT_PUBLIC_ prefix.</w:t>
      </w:r>
    </w:p>
    <w:p>
      <w:pPr>
        <w:pStyle w:val="Heading2"/>
      </w:pPr>
      <w:r>
        <w:t xml:space="preserve">3.2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4760"/>
      </w:tblGrid>
      <w:tr>
        <w:trPr>
          <w:tblHeader/>
        </w:trPr>
        <w:tc>
          <w:tcPr>
            <w:tcW w:type="dxa" w:w="31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Variable</w:t>
            </w:r>
          </w:p>
        </w:tc>
        <w:tc>
          <w:tcPr>
            <w:tcW w:type="dxa" w:w="15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Required</w:t>
            </w:r>
          </w:p>
        </w:tc>
        <w:tc>
          <w:tcPr>
            <w:tcW w:type="dxa" w:w="476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Purpose</w:t>
            </w:r>
          </w:p>
        </w:tc>
      </w:tr>
      <w:tr>
        <w:tc>
          <w:tcPr>
            <w:tcW w:type="dxa" w:w="31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NEXT_PUBLIC_SUPABASE_URL</w:t>
            </w:r>
          </w:p>
        </w:tc>
        <w:tc>
          <w:tcPr>
            <w:tcW w:type="dxa" w:w="15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Yes</w:t>
            </w:r>
          </w:p>
        </w:tc>
        <w:tc>
          <w:tcPr>
            <w:tcW w:type="dxa" w:w="47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Supabase project URL (client).</w:t>
            </w:r>
          </w:p>
        </w:tc>
      </w:tr>
      <w:tr>
        <w:tc>
          <w:tcPr>
            <w:tcW w:type="dxa" w:w="31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NEXT_PUBLIC_SUPABASE_ANON_KEY</w:t>
            </w:r>
          </w:p>
        </w:tc>
        <w:tc>
          <w:tcPr>
            <w:tcW w:type="dxa" w:w="15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Yes</w:t>
            </w:r>
          </w:p>
        </w:tc>
        <w:tc>
          <w:tcPr>
            <w:tcW w:type="dxa" w:w="47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Supabase anon/publishable key (client).</w:t>
            </w:r>
          </w:p>
        </w:tc>
      </w:tr>
      <w:tr>
        <w:tc>
          <w:tcPr>
            <w:tcW w:type="dxa" w:w="31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SUPABASE_SERVICE_ROLE_KEY</w:t>
            </w:r>
          </w:p>
        </w:tc>
        <w:tc>
          <w:tcPr>
            <w:tcW w:type="dxa" w:w="15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No (secret)</w:t>
            </w:r>
          </w:p>
        </w:tc>
        <w:tc>
          <w:tcPr>
            <w:tcW w:type="dxa" w:w="47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Enables admin create/delete of login accounts.</w:t>
            </w:r>
          </w:p>
        </w:tc>
      </w:tr>
      <w:tr>
        <w:tc>
          <w:tcPr>
            <w:tcW w:type="dxa" w:w="31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NEXT_PUBLIC_SITE_URL</w:t>
            </w:r>
          </w:p>
        </w:tc>
        <w:tc>
          <w:tcPr>
            <w:tcW w:type="dxa" w:w="15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No</w:t>
            </w:r>
          </w:p>
        </w:tc>
        <w:tc>
          <w:tcPr>
            <w:tcW w:type="dxa" w:w="47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Origin for invitation accept links behind a proxy.</w:t>
            </w:r>
          </w:p>
        </w:tc>
      </w:tr>
      <w:tr>
        <w:tc>
          <w:tcPr>
            <w:tcW w:type="dxa" w:w="31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NEXT_PUBLIC_TURNSTILE_SITE_KEY</w:t>
            </w:r>
          </w:p>
        </w:tc>
        <w:tc>
          <w:tcPr>
            <w:tcW w:type="dxa" w:w="15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No</w:t>
            </w:r>
          </w:p>
        </w:tc>
        <w:tc>
          <w:tcPr>
            <w:tcW w:type="dxa" w:w="47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Renders the login CAPTCHA (secret lives in Supabase).</w:t>
            </w:r>
          </w:p>
        </w:tc>
      </w:tr>
      <w:tr>
        <w:tc>
          <w:tcPr>
            <w:tcW w:type="dxa" w:w="31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UPSTASH_REDIS_REST_URL / _TOKEN</w:t>
            </w:r>
          </w:p>
        </w:tc>
        <w:tc>
          <w:tcPr>
            <w:tcW w:type="dxa" w:w="15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No (token secret)</w:t>
            </w:r>
          </w:p>
        </w:tc>
        <w:tc>
          <w:tcPr>
            <w:tcW w:type="dxa" w:w="47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Durable, cross-instance rate limiting.</w:t>
            </w:r>
          </w:p>
        </w:tc>
      </w:tr>
      <w:tr>
        <w:tc>
          <w:tcPr>
            <w:tcW w:type="dxa" w:w="31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SECURITY_RATE_LIMIT / SECURITY_WAF</w:t>
            </w:r>
          </w:p>
        </w:tc>
        <w:tc>
          <w:tcPr>
            <w:tcW w:type="dxa" w:w="15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No</w:t>
            </w:r>
          </w:p>
        </w:tc>
        <w:tc>
          <w:tcPr>
            <w:tcW w:type="dxa" w:w="47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Master switches (default on); set 'off' to disable.</w:t>
            </w:r>
          </w:p>
        </w:tc>
      </w:tr>
      <w:tr>
        <w:tc>
          <w:tcPr>
            <w:tcW w:type="dxa" w:w="31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SMTP_HOST / MAIL_FROM (+ PORT/USER/PASS/SECURE)</w:t>
            </w:r>
          </w:p>
        </w:tc>
        <w:tc>
          <w:tcPr>
            <w:tcW w:type="dxa" w:w="15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No</w:t>
            </w:r>
          </w:p>
        </w:tc>
        <w:tc>
          <w:tcPr>
            <w:tcW w:type="dxa" w:w="47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Email documents &amp; statements; disabled when unset.</w:t>
            </w:r>
          </w:p>
        </w:tc>
      </w:tr>
      <w:tr>
        <w:tc>
          <w:tcPr>
            <w:tcW w:type="dxa" w:w="31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DATABASE_URL</w:t>
            </w:r>
          </w:p>
        </w:tc>
        <w:tc>
          <w:tcPr>
            <w:tcW w:type="dxa" w:w="15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Local only</w:t>
            </w:r>
          </w:p>
        </w:tc>
        <w:tc>
          <w:tcPr>
            <w:tcW w:type="dxa" w:w="47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Migrations / seed / tests only — never on the host.</w:t>
            </w:r>
          </w:p>
        </w:tc>
      </w:tr>
    </w:tbl>
    <w:p>
      <w:pPr>
        <w:spacing w:after="120"/>
      </w:pPr>
      <w:r>
        <w:t xml:space="preserve">The authoritative, filled-in reference is </w:t>
      </w:r>
      <w:r/>
      <w:r>
        <w:t xml:space="preserve">.</w:t>
      </w:r>
    </w:p>
    <w:p>
      <w:pPr>
        <w:pStyle w:val="Heading1"/>
      </w:pPr>
      <w:r>
        <w:t xml:space="preserve">4. Deployment</w:t>
      </w:r>
    </w:p>
    <w:p>
      <w:pPr>
        <w:spacing w:after="120"/>
      </w:pPr>
      <w:r>
        <w:t xml:space="preserve">Full step-by-step instructions are in DEPLOYMENT.md. The essential sequence for a fresh environment:</w:t>
      </w:r>
    </w:p>
    <w:p>
      <w:pPr>
        <w:pStyle w:val="ListParagraph"/>
        <w:numPr>
          <w:ilvl w:val="0"/>
          <w:numId w:val="3"/>
        </w:numPr>
        <w:spacing w:after="60"/>
      </w:pPr>
      <w:r>
        <w:t xml:space="preserve">Create a Supabase project; copy the Project URL, anon key, and service-role key.</w:t>
      </w:r>
    </w:p>
    <w:p>
      <w:pPr>
        <w:pStyle w:val="ListParagraph"/>
        <w:numPr>
          <w:ilvl w:val="0"/>
          <w:numId w:val="3"/>
        </w:numPr>
        <w:spacing w:after="60"/>
      </w:pPr>
      <w:r>
        <w:t xml:space="preserve">Provision the schema: paste technicoflor_erp_schema_v0.50.0.sql into the Supabase SQL editor and run (all 45 migrations, one atomic transaction).</w:t>
      </w:r>
    </w:p>
    <w:p>
      <w:pPr>
        <w:pStyle w:val="ListParagraph"/>
        <w:numPr>
          <w:ilvl w:val="0"/>
          <w:numId w:val="3"/>
        </w:numPr>
        <w:spacing w:after="60"/>
      </w:pPr>
      <w:r>
        <w:t xml:space="preserve">Bootstrap the first admin: create a login in Supabase Auth, then insert its UUID into app_users with role 'admin'.</w:t>
      </w:r>
    </w:p>
    <w:p>
      <w:pPr>
        <w:pStyle w:val="ListParagraph"/>
        <w:numPr>
          <w:ilvl w:val="0"/>
          <w:numId w:val="3"/>
        </w:numPr>
        <w:spacing w:after="60"/>
      </w:pPr>
      <w:r>
        <w:t xml:space="preserve">Configure Supabase Auth: Site URL, the &lt;origin&gt;/accept-invite redirect, optional Turnstile CAPTCHA secret, optional SMTP.</w:t>
      </w:r>
    </w:p>
    <w:p>
      <w:pPr>
        <w:pStyle w:val="ListParagraph"/>
        <w:numPr>
          <w:ilvl w:val="0"/>
          <w:numId w:val="3"/>
        </w:numPr>
        <w:spacing w:after="60"/>
      </w:pPr>
      <w:r>
        <w:t xml:space="preserve">(Optional) Create an Upstash Redis database for durable rate limiting.</w:t>
      </w:r>
    </w:p>
    <w:p>
      <w:pPr>
        <w:pStyle w:val="ListParagraph"/>
        <w:numPr>
          <w:ilvl w:val="0"/>
          <w:numId w:val="3"/>
        </w:numPr>
        <w:spacing w:after="60"/>
      </w:pPr>
      <w:r>
        <w:t xml:space="preserve">Deploy to Vercel: import the repo, set environment variables, deploy; then set the real Site URL in Supabase.</w:t>
      </w:r>
    </w:p>
    <w:p>
      <w:pPr>
        <w:pStyle w:val="ListParagraph"/>
        <w:numPr>
          <w:ilvl w:val="0"/>
          <w:numId w:val="3"/>
        </w:numPr>
        <w:spacing w:after="60"/>
      </w:pPr>
      <w:r>
        <w:t xml:space="preserve">(Optional) Seed demo data with yarn db:seed from a machine with DATABASE_URL set.</w:t>
      </w:r>
    </w:p>
    <w:p>
      <w:pPr>
        <w:pStyle w:val="ListParagraph"/>
        <w:numPr>
          <w:ilvl w:val="0"/>
          <w:numId w:val="3"/>
        </w:numPr>
        <w:spacing w:after="60"/>
      </w:pPr>
      <w:r>
        <w:t xml:space="preserve">Run the post-deploy smoke test in DEPLOYMENT.md §8.</w:t>
      </w:r>
    </w:p>
    <w:p>
      <w:pPr>
        <w:pStyle w:val="Heading2"/>
      </w:pPr>
      <w:r>
        <w:t xml:space="preserve">4.1 First-Admin Bootstrap SQL</w:t>
      </w:r>
    </w:p>
    <w:p>
      <w:pPr>
        <w:shd w:fill="F3F5F3" w:val="clear"/>
        <w:spacing w:after="0"/>
      </w:pPr>
      <w:r>
        <w:rPr>
          <w:rFonts w:ascii="Consolas" w:cs="Consolas" w:eastAsia="Consolas" w:hAnsi="Consolas"/>
          <w:sz w:val="18"/>
          <w:szCs w:val="18"/>
        </w:rPr>
        <w:t xml:space="preserve">-- After creating the auth user in Supabase Studio, copy its UUID:</w:t>
      </w:r>
    </w:p>
    <w:p>
      <w:pPr>
        <w:shd w:fill="F3F5F3" w:val="clear"/>
        <w:spacing w:after="0"/>
      </w:pPr>
      <w:r>
        <w:rPr>
          <w:rFonts w:ascii="Consolas" w:cs="Consolas" w:eastAsia="Consolas" w:hAnsi="Consolas"/>
          <w:sz w:val="18"/>
          <w:szCs w:val="18"/>
        </w:rPr>
        <w:t xml:space="preserve">insert into app_users (user_id, role)</w:t>
      </w:r>
    </w:p>
    <w:p>
      <w:pPr>
        <w:shd w:fill="F3F5F3" w:val="clear"/>
        <w:spacing w:after="0"/>
      </w:pPr>
      <w:r>
        <w:rPr>
          <w:rFonts w:ascii="Consolas" w:cs="Consolas" w:eastAsia="Consolas" w:hAnsi="Consolas"/>
          <w:sz w:val="18"/>
          <w:szCs w:val="18"/>
        </w:rPr>
        <w:t xml:space="preserve">values ('&lt;the-new-auth-user-id&gt;', 'admin');</w:t>
      </w:r>
    </w:p>
    <w:p>
      <w:pPr>
        <w:pStyle w:val="Heading1"/>
      </w:pPr>
      <w:r>
        <w:t xml:space="preserve">5. Administration Runbooks</w:t>
      </w:r>
    </w:p>
    <w:p>
      <w:pPr>
        <w:pStyle w:val="Heading2"/>
      </w:pPr>
      <w:r>
        <w:t xml:space="preserve">5.1 User &amp; Access Management</w:t>
      </w:r>
    </w:p>
    <w:p>
      <w:pPr>
        <w:pStyle w:val="ListParagraph"/>
        <w:numPr>
          <w:ilvl w:val="0"/>
          <w:numId w:val="2"/>
        </w:numPr>
        <w:spacing w:after="60"/>
      </w:pPr>
      <w:r>
        <w:t xml:space="preserve">Add a user: Admin → Users → invite by email, or create an account with a temporary password (requires the service-role key).</w:t>
      </w:r>
    </w:p>
    <w:p>
      <w:pPr>
        <w:pStyle w:val="ListParagraph"/>
        <w:numPr>
          <w:ilvl w:val="0"/>
          <w:numId w:val="2"/>
        </w:numPr>
        <w:spacing w:after="60"/>
      </w:pPr>
      <w:r>
        <w:t xml:space="preserve">Assign clearance: change a user's role inline (admin / production / quality / viewer). Removing a role reverts them to viewer.</w:t>
      </w:r>
    </w:p>
    <w:p>
      <w:pPr>
        <w:pStyle w:val="ListParagraph"/>
        <w:numPr>
          <w:ilvl w:val="0"/>
          <w:numId w:val="2"/>
        </w:numPr>
        <w:spacing w:after="60"/>
      </w:pPr>
      <w:r>
        <w:t xml:space="preserve">Safeguards: the system blocks demoting or deleting the last admin, and blocks self-deletion — these are enforced in SQL, not just the UI.</w:t>
      </w:r>
    </w:p>
    <w:p>
      <w:pPr>
        <w:pStyle w:val="Heading2"/>
      </w:pPr>
      <w:r>
        <w:t xml:space="preserve">5.2 Master Data &amp; Formulas</w:t>
      </w:r>
    </w:p>
    <w:p>
      <w:pPr>
        <w:pStyle w:val="ListParagraph"/>
        <w:numPr>
          <w:ilvl w:val="0"/>
          <w:numId w:val="2"/>
        </w:numPr>
        <w:spacing w:after="60"/>
      </w:pPr>
      <w:r>
        <w:t xml:space="preserve">Maintain materials, products, warehouses, customers, and suppliers from the /admin area (Admin clearance).</w:t>
      </w:r>
    </w:p>
    <w:p>
      <w:pPr>
        <w:pStyle w:val="ListParagraph"/>
        <w:numPr>
          <w:ilvl w:val="0"/>
          <w:numId w:val="2"/>
        </w:numPr>
        <w:spacing w:after="60"/>
      </w:pPr>
      <w:r>
        <w:t xml:space="preserve">Author formulas under Admin → Formulas: build versions, watch the live Σ/100 readout, and lock when a percent version sums to 100. Locking is permanent; create a new version to change a locked recipe.</w:t>
      </w:r>
    </w:p>
    <w:p>
      <w:pPr>
        <w:pStyle w:val="ListParagraph"/>
        <w:numPr>
          <w:ilvl w:val="0"/>
          <w:numId w:val="2"/>
        </w:numPr>
        <w:spacing w:after="60"/>
      </w:pPr>
      <w:r>
        <w:t xml:space="preserve">Set halal status and certificates on materials so formula verdicts stay current; expired certificates fail closed.</w:t>
      </w:r>
    </w:p>
    <w:p>
      <w:pPr>
        <w:pStyle w:val="Heading2"/>
      </w:pPr>
      <w:r>
        <w:t xml:space="preserve">5.3 Configuration Screens</w:t>
      </w:r>
    </w:p>
    <w:p>
      <w:pPr>
        <w:pStyle w:val="ListParagraph"/>
        <w:numPr>
          <w:ilvl w:val="0"/>
          <w:numId w:val="2"/>
        </w:numPr>
        <w:spacing w:after="60"/>
      </w:pPr>
      <w:r>
        <w:t xml:space="preserve">Costing rates: Admin → Costing sets plant-wide labor/overhead rates; per-product overrides live in the product costing editor. Both default to 0, so cost stays material-only until set.</w:t>
      </w:r>
    </w:p>
    <w:p>
      <w:pPr>
        <w:pStyle w:val="ListParagraph"/>
        <w:numPr>
          <w:ilvl w:val="0"/>
          <w:numId w:val="2"/>
        </w:numPr>
        <w:spacing w:after="60"/>
      </w:pPr>
      <w:r>
        <w:t xml:space="preserve">Tax &amp; pricing: the tax-settings singleton holds the house PPN rate; per-customer discount and tax-exempt flags live on the customer.</w:t>
      </w:r>
    </w:p>
    <w:p>
      <w:pPr>
        <w:pStyle w:val="ListParagraph"/>
        <w:numPr>
          <w:ilvl w:val="0"/>
          <w:numId w:val="2"/>
        </w:numPr>
        <w:spacing w:after="60"/>
      </w:pPr>
      <w:r>
        <w:t xml:space="preserve">Payment terms: customer/supplier net-days terms drive the frozen due date and aging buckets.</w:t>
      </w:r>
    </w:p>
    <w:p>
      <w:pPr>
        <w:pStyle w:val="Heading2"/>
      </w:pPr>
      <w:r>
        <w:t xml:space="preserve">5.4 Documents &amp; Finance</w:t>
      </w:r>
    </w:p>
    <w:p>
      <w:pPr>
        <w:pStyle w:val="ListParagraph"/>
        <w:numPr>
          <w:ilvl w:val="0"/>
          <w:numId w:val="2"/>
        </w:numPr>
        <w:spacing w:after="60"/>
      </w:pPr>
      <w:r>
        <w:t xml:space="preserve">Issue documents from the sales order page; they freeze as immutable, gapless-numbered records with PDF links.</w:t>
      </w:r>
    </w:p>
    <w:p>
      <w:pPr>
        <w:pStyle w:val="ListParagraph"/>
        <w:numPr>
          <w:ilvl w:val="0"/>
          <w:numId w:val="2"/>
        </w:numPr>
        <w:spacing w:after="60"/>
      </w:pPr>
      <w:r>
        <w:t xml:space="preserve">Email a document or statement (requires SMTP); every send is recorded and visible in Email history.</w:t>
      </w:r>
    </w:p>
    <w:p>
      <w:pPr>
        <w:pStyle w:val="ListParagraph"/>
        <w:numPr>
          <w:ilvl w:val="0"/>
          <w:numId w:val="2"/>
        </w:numPr>
        <w:spacing w:after="60"/>
      </w:pPr>
      <w:r>
        <w:t xml:space="preserve">Void a mis-issued document on the record with a reason (refused while payments remain); it renders with a VOID watermark and can no longer be emailed.</w:t>
      </w:r>
    </w:p>
    <w:p>
      <w:pPr>
        <w:pStyle w:val="Heading1"/>
      </w:pPr>
      <w:r>
        <w:t xml:space="preserve">6. Maintenance &amp; Operations</w:t>
      </w:r>
    </w:p>
    <w:p>
      <w:pPr>
        <w:pStyle w:val="Heading2"/>
      </w:pPr>
      <w:r>
        <w:t xml:space="preserve">6.1 Applying Schema Changes</w:t>
      </w:r>
    </w:p>
    <w:p>
      <w:pPr>
        <w:spacing w:after="120"/>
      </w:pPr>
      <w:r>
        <w:t xml:space="preserve">New database changes are additive, numbered migrations in </w:t>
      </w:r>
      <w:r/>
      <w:r>
        <w:t xml:space="preserve">. Apply them with </w:t>
      </w:r>
      <w:r/>
      <w:r>
        <w:t xml:space="preserve"> (pointed at the target via DATABASE_URL) or by pasting the new file(s) into the Supabase SQL editor in order. Never edit an applied migration; add a new one. After schema changes affecting types, regenerate the typed layer with </w:t>
      </w:r>
      <w:r/>
      <w:r>
        <w:t xml:space="preserve">.</w:t>
      </w:r>
    </w:p>
    <w:p>
      <w:pPr>
        <w:pStyle w:val="Heading2"/>
      </w:pPr>
      <w:r>
        <w:t xml:space="preserve">6.2 Running the Test Suite</w:t>
      </w:r>
    </w:p>
    <w:p>
      <w:pPr>
        <w:shd w:fill="F3F5F3" w:val="clear"/>
        <w:spacing w:after="0"/>
      </w:pPr>
      <w:r>
        <w:rPr>
          <w:rFonts w:ascii="Consolas" w:cs="Consolas" w:eastAsia="Consolas" w:hAnsi="Consolas"/>
          <w:sz w:val="18"/>
          <w:szCs w:val="18"/>
        </w:rPr>
        <w:t xml:space="preserve">yarn install</w:t>
      </w:r>
    </w:p>
    <w:p>
      <w:pPr>
        <w:shd w:fill="F3F5F3" w:val="clear"/>
        <w:spacing w:after="0"/>
      </w:pPr>
      <w:r>
        <w:rPr>
          <w:rFonts w:ascii="Consolas" w:cs="Consolas" w:eastAsia="Consolas" w:hAnsi="Consolas"/>
          <w:sz w:val="18"/>
          <w:szCs w:val="18"/>
        </w:rPr>
        <w:t xml:space="preserve">yarn typecheck        # TypeScript, no emit</w:t>
      </w:r>
    </w:p>
    <w:p>
      <w:pPr>
        <w:shd w:fill="F3F5F3" w:val="clear"/>
        <w:spacing w:after="0"/>
      </w:pPr>
      <w:r>
        <w:rPr>
          <w:rFonts w:ascii="Consolas" w:cs="Consolas" w:eastAsia="Consolas" w:hAnsi="Consolas"/>
          <w:sz w:val="18"/>
          <w:szCs w:val="18"/>
        </w:rPr>
        <w:t xml:space="preserve">yarn test             # unit tests (src)</w:t>
      </w:r>
    </w:p>
    <w:p>
      <w:pPr>
        <w:shd w:fill="F3F5F3" w:val="clear"/>
        <w:spacing w:after="0"/>
      </w:pPr>
      <w:r>
        <w:rPr>
          <w:rFonts w:ascii="Consolas" w:cs="Consolas" w:eastAsia="Consolas" w:hAnsi="Consolas"/>
          <w:sz w:val="18"/>
          <w:szCs w:val="18"/>
        </w:rPr>
        <w:t xml:space="preserve">yarn test:integration # integration vs a local/migrated Postgres</w:t>
      </w:r>
    </w:p>
    <w:p>
      <w:pPr>
        <w:shd w:fill="F3F5F3" w:val="clear"/>
        <w:spacing w:after="0"/>
      </w:pPr>
      <w:r>
        <w:rPr>
          <w:rFonts w:ascii="Consolas" w:cs="Consolas" w:eastAsia="Consolas" w:hAnsi="Consolas"/>
          <w:sz w:val="18"/>
          <w:szCs w:val="18"/>
        </w:rPr>
        <w:t xml:space="preserve">yarn cypress:run      # end-to-end</w:t>
      </w:r>
    </w:p>
    <w:p>
      <w:pPr>
        <w:pStyle w:val="Heading2"/>
      </w:pPr>
      <w:r>
        <w:t xml:space="preserve">6.3 Monitoring &amp; Logs</w:t>
      </w:r>
    </w:p>
    <w:p>
      <w:pPr>
        <w:pStyle w:val="ListParagraph"/>
        <w:numPr>
          <w:ilvl w:val="0"/>
          <w:numId w:val="2"/>
        </w:numPr>
        <w:spacing w:after="60"/>
      </w:pPr>
      <w:r>
        <w:t xml:space="preserve">Application logs are structured JSON (level, message, fields) — watch for waf.blocked, rateLimit.blocked, and *.sent_but_unrecorded warnings.</w:t>
      </w:r>
    </w:p>
    <w:p>
      <w:pPr>
        <w:pStyle w:val="ListParagraph"/>
        <w:numPr>
          <w:ilvl w:val="0"/>
          <w:numId w:val="2"/>
        </w:numPr>
        <w:spacing w:after="60"/>
      </w:pPr>
      <w:r>
        <w:t xml:space="preserve">A *.sent_but_unrecorded error means an email left but its audit row failed to write — investigate, because an unrecorded send is an audit gap.</w:t>
      </w:r>
    </w:p>
    <w:p>
      <w:pPr>
        <w:pStyle w:val="ListParagraph"/>
        <w:numPr>
          <w:ilvl w:val="0"/>
          <w:numId w:val="2"/>
        </w:numPr>
        <w:spacing w:after="60"/>
      </w:pPr>
      <w:r>
        <w:t xml:space="preserve">Use the host's (Vercel) function logs and Supabase's dashboard for request, auth, and database observability.</w:t>
      </w:r>
    </w:p>
    <w:p>
      <w:pPr>
        <w:pStyle w:val="Heading2"/>
      </w:pPr>
      <w:r>
        <w:t xml:space="preserve">6.4 Security Operations</w:t>
      </w:r>
    </w:p>
    <w:p>
      <w:pPr>
        <w:pStyle w:val="ListParagraph"/>
        <w:numPr>
          <w:ilvl w:val="0"/>
          <w:numId w:val="2"/>
        </w:numPr>
        <w:spacing w:after="60"/>
      </w:pPr>
      <w:r>
        <w:t xml:space="preserve">Toggle a layer with SECURITY_WAF=off or SECURITY_RATE_LIMIT=off (e.g. when a network WAF already fronts the app); security headers remain on regardless.</w:t>
      </w:r>
    </w:p>
    <w:p>
      <w:pPr>
        <w:pStyle w:val="ListParagraph"/>
        <w:numPr>
          <w:ilvl w:val="0"/>
          <w:numId w:val="2"/>
        </w:numPr>
        <w:spacing w:after="60"/>
      </w:pPr>
      <w:r>
        <w:t xml:space="preserve">For production, front the app with a network WAF/CDN and set UPSTASH_* so rate limits are shared across instances.</w:t>
      </w:r>
    </w:p>
    <w:p>
      <w:pPr>
        <w:pStyle w:val="ListParagraph"/>
        <w:numPr>
          <w:ilvl w:val="0"/>
          <w:numId w:val="2"/>
        </w:numPr>
        <w:spacing w:after="60"/>
      </w:pPr>
      <w:r>
        <w:t xml:space="preserve">Rotate secrets (service-role key, SMTP password, Upstash token) through the host's env settings; the Turnstile secret rotates in the Supabase dashboard.</w:t>
      </w:r>
    </w:p>
    <w:p>
      <w:pPr>
        <w:pStyle w:val="Heading1"/>
      </w:pPr>
      <w:r>
        <w:t xml:space="preserve">7. Backup, Recovery &amp; Continuity</w:t>
      </w:r>
    </w:p>
    <w:p>
      <w:pPr>
        <w:pStyle w:val="ListParagraph"/>
        <w:numPr>
          <w:ilvl w:val="0"/>
          <w:numId w:val="2"/>
        </w:numPr>
        <w:spacing w:after="60"/>
      </w:pPr>
      <w:r>
        <w:t xml:space="preserve">Database backups: rely on Supabase's managed backups / point-in-time recovery per your plan; verify the retention window meets your RPO.</w:t>
      </w:r>
    </w:p>
    <w:p>
      <w:pPr>
        <w:pStyle w:val="ListParagraph"/>
        <w:numPr>
          <w:ilvl w:val="0"/>
          <w:numId w:val="2"/>
        </w:numPr>
        <w:spacing w:after="60"/>
      </w:pPr>
      <w:r>
        <w:t xml:space="preserve">Immutability aids recovery: issued documents and the ledger are append-only, so historical figures are reconstructable and cannot be silently altered.</w:t>
      </w:r>
    </w:p>
    <w:p>
      <w:pPr>
        <w:pStyle w:val="ListParagraph"/>
        <w:numPr>
          <w:ilvl w:val="0"/>
          <w:numId w:val="2"/>
        </w:numPr>
        <w:spacing w:after="60"/>
      </w:pPr>
      <w:r>
        <w:t xml:space="preserve">Application rollback: the host (Vercel) retains prior deployments — promote a previous build to roll back the app tier without touching the database.</w:t>
      </w:r>
    </w:p>
    <w:p>
      <w:pPr>
        <w:pStyle w:val="ListParagraph"/>
        <w:numPr>
          <w:ilvl w:val="0"/>
          <w:numId w:val="2"/>
        </w:numPr>
        <w:spacing w:after="60"/>
      </w:pPr>
      <w:r>
        <w:t xml:space="preserve">Schema rollback: the bundled provisioning SQL runs in one transaction (all-or-nothing). Forward-only migrations are the norm; treat destructive changes with a backup first.</w:t>
      </w:r>
    </w:p>
    <w:p>
      <w:pPr>
        <w:pStyle w:val="ListParagraph"/>
        <w:numPr>
          <w:ilvl w:val="0"/>
          <w:numId w:val="2"/>
        </w:numPr>
        <w:spacing w:after="60"/>
      </w:pPr>
      <w:r>
        <w:t xml:space="preserve">Configuration recovery: keep environment variables in a secure secret store so an environment can be reconstructed from ENV_CHECKLIST.md.</w:t>
      </w:r>
    </w:p>
    <w:p>
      <w:pPr>
        <w:pStyle w:val="Heading1"/>
      </w:pPr>
      <w:r>
        <w:t xml:space="preserve">8. Known Limitations &amp; Environment Notes</w:t>
      </w:r>
    </w:p>
    <w:p>
      <w:pPr>
        <w:pStyle w:val="ListParagraph"/>
        <w:numPr>
          <w:ilvl w:val="0"/>
          <w:numId w:val="2"/>
        </w:numPr>
        <w:spacing w:after="60"/>
      </w:pPr>
      <w:r>
        <w:t xml:space="preserve">General-ledger / accounting close, MRP / demand planning, and external e-invoicing are out of scope in this release (see §9).</w:t>
      </w:r>
    </w:p>
    <w:p>
      <w:pPr>
        <w:pStyle w:val="ListParagraph"/>
        <w:numPr>
          <w:ilvl w:val="0"/>
          <w:numId w:val="2"/>
        </w:numPr>
        <w:spacing w:after="60"/>
      </w:pPr>
      <w:r>
        <w:t xml:space="preserve">Access control has four roles (admin / production / quality / viewer); finer-grained permissions are a future item.</w:t>
      </w:r>
    </w:p>
    <w:p>
      <w:pPr>
        <w:pStyle w:val="ListParagraph"/>
        <w:numPr>
          <w:ilvl w:val="0"/>
          <w:numId w:val="2"/>
        </w:numPr>
        <w:spacing w:after="60"/>
      </w:pPr>
      <w:r>
        <w:t xml:space="preserve">Three features require live third-party services to exercise end to end and cannot be fully verified in a sandbox: email delivery (SMTP), the live CAPTCHA challenge (Turnstile + Supabase secret), and Upstash-backed rate limiting. Their in-app logic, schema, and fallbacks are tested; validate them in your environment during the smoke test.</w:t>
      </w:r>
    </w:p>
    <w:p>
      <w:pPr>
        <w:pStyle w:val="ListParagraph"/>
        <w:numPr>
          <w:ilvl w:val="0"/>
          <w:numId w:val="2"/>
        </w:numPr>
        <w:spacing w:after="60"/>
      </w:pPr>
      <w:r>
        <w:t xml:space="preserve">Rate limiting without Upstash is per-instance (in-memory) and resets on redeploy — acceptable for a single instance, but configure Upstash for multi-instance production.</w:t>
      </w:r>
    </w:p>
    <w:p>
      <w:pPr>
        <w:pStyle w:val="Heading1"/>
      </w:pPr>
      <w:r>
        <w:t xml:space="preserve">9. Roadmap Beyond Handover</w:t>
      </w:r>
    </w:p>
    <w:p>
      <w:pPr>
        <w:spacing w:after="120"/>
      </w:pPr>
      <w:r>
        <w:t xml:space="preserve">The product roadmap the system was built against is complete. The remaining horizons are larger, optional builds rather than near-term fixes:</w:t>
      </w:r>
    </w:p>
    <w:p>
      <w:pPr>
        <w:pStyle w:val="ListParagraph"/>
        <w:numPr>
          <w:ilvl w:val="0"/>
          <w:numId w:val="3"/>
        </w:numPr>
        <w:spacing w:after="60"/>
      </w:pPr>
      <w:r>
        <w:t xml:space="preserve">General Ledger / accounting close — chart of accounts, journal entries, trial balance, and P&amp;L / balance sheet, so the AR/AP/inventory subledgers roll up into financial statements.</w:t>
      </w:r>
    </w:p>
    <w:p>
      <w:pPr>
        <w:pStyle w:val="ListParagraph"/>
        <w:numPr>
          <w:ilvl w:val="0"/>
          <w:numId w:val="3"/>
        </w:numPr>
        <w:spacing w:after="60"/>
      </w:pPr>
      <w:r>
        <w:t xml:space="preserve">Planning &amp; procurement workflow — MRP / demand planning and production scheduling, plus a purchase-requisition → approval → PO flow.</w:t>
      </w:r>
    </w:p>
    <w:p>
      <w:pPr>
        <w:pStyle w:val="ListParagraph"/>
        <w:numPr>
          <w:ilvl w:val="0"/>
          <w:numId w:val="3"/>
        </w:numPr>
        <w:spacing w:after="60"/>
      </w:pPr>
      <w:r>
        <w:t xml:space="preserve">Integrations &amp; access depth — e-Faktur / Coretax and bank-reconciliation feeds, granular role-based access beyond the four roles, and ad-hoc reporting.</w:t>
      </w:r>
    </w:p>
    <w:p>
      <w:pPr>
        <w:spacing w:after="120"/>
      </w:pPr>
      <w:r>
        <w:t xml:space="preserve">The General Ledger is the natural next centerpiece, since every subledger already feeds it.</w:t>
      </w:r>
    </w:p>
    <w:p>
      <w:pPr>
        <w:pStyle w:val="Heading1"/>
      </w:pPr>
      <w:r>
        <w:t xml:space="preserve">10. Support &amp; Handover Checklist</w:t>
      </w:r>
    </w:p>
    <w:p>
      <w:pPr>
        <w:pStyle w:val="Heading2"/>
      </w:pPr>
      <w:r>
        <w:t xml:space="preserve">10.1 Artifacts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Artifact</w:t>
            </w:r>
          </w:p>
        </w:tc>
        <w:tc>
          <w:tcPr>
            <w:tcW w:type="dxa" w:w="6360"/>
            <w:tcBorders>
              <w:top w:val="single" w:color="D0D7D2" w:sz="1"/>
              <w:left w:val="single" w:color="D0D7D2" w:sz="1"/>
              <w:bottom w:val="single" w:color="D0D7D2" w:sz="1"/>
              <w:right w:val="single" w:color="D0D7D2" w:sz="1"/>
            </w:tcBorders>
            <w:shd w:fill="2E7D46" w:val="clear"/>
            <w:tcMar>
              <w:top w:type="dxa" w:w="70"/>
              <w:left w:type="dxa" w:w="110"/>
              <w:bottom w:type="dxa" w:w="70"/>
              <w:right w:type="dxa" w:w="110"/>
            </w:tcMar>
          </w:tcPr>
          <w:p>
            <w:pPr>
              <w:spacing w:after="0"/>
            </w:pPr>
            <w:r>
              <w:rPr>
                <w:b/>
                <w:bCs/>
                <w:color w:val="FFFFFF"/>
                <w:sz w:val="19"/>
                <w:szCs w:val="19"/>
              </w:rPr>
              <w:t xml:space="preserve">Description</w:t>
            </w:r>
          </w:p>
        </w:tc>
      </w:tr>
      <w:tr>
        <w:tc>
          <w:tcPr>
            <w:tcW w:type="dxa" w:w="30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Source archive</w:t>
            </w:r>
          </w:p>
        </w:tc>
        <w:tc>
          <w:tcPr>
            <w:tcW w:type="dxa" w:w="63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TechnicoFlor - Perfume ERP (v0.50.0).zip — full source, excludes node_modules.</w:t>
            </w:r>
          </w:p>
        </w:tc>
      </w:tr>
      <w:tr>
        <w:tc>
          <w:tcPr>
            <w:tcW w:type="dxa" w:w="30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Bundled schema</w:t>
            </w:r>
          </w:p>
        </w:tc>
        <w:tc>
          <w:tcPr>
            <w:tcW w:type="dxa" w:w="63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technicoflor_erp_schema_v0.50.0.sql — paste-and-run provisioning.</w:t>
            </w:r>
          </w:p>
        </w:tc>
      </w:tr>
      <w:tr>
        <w:tc>
          <w:tcPr>
            <w:tcW w:type="dxa" w:w="30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DEPLOYMENT.md</w:t>
            </w:r>
          </w:p>
        </w:tc>
        <w:tc>
          <w:tcPr>
            <w:tcW w:type="dxa" w:w="63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Step-by-step Supabase + Vercel runbook.</w:t>
            </w:r>
          </w:p>
        </w:tc>
      </w:tr>
      <w:tr>
        <w:tc>
          <w:tcPr>
            <w:tcW w:type="dxa" w:w="30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ENV_CHECKLIST.md</w:t>
            </w:r>
          </w:p>
        </w:tc>
        <w:tc>
          <w:tcPr>
            <w:tcW w:type="dxa" w:w="63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Filled-in environment variable reference.</w:t>
            </w:r>
          </w:p>
        </w:tc>
      </w:tr>
      <w:tr>
        <w:tc>
          <w:tcPr>
            <w:tcW w:type="dxa" w:w="30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Requirements Specification</w:t>
            </w:r>
          </w:p>
        </w:tc>
        <w:tc>
          <w:tcPr>
            <w:tcW w:type="dxa" w:w="63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Functional &amp; non-functional requirements (this set).</w:t>
            </w:r>
          </w:p>
        </w:tc>
      </w:tr>
      <w:tr>
        <w:tc>
          <w:tcPr>
            <w:tcW w:type="dxa" w:w="30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Technical Design Document</w:t>
            </w:r>
          </w:p>
        </w:tc>
        <w:tc>
          <w:tcPr>
            <w:tcW w:type="dxa" w:w="63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Architecture, data model, algorithms, security (this set).</w:t>
            </w:r>
          </w:p>
        </w:tc>
      </w:tr>
      <w:tr>
        <w:tc>
          <w:tcPr>
            <w:tcW w:type="dxa" w:w="300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Handover Document</w:t>
            </w:r>
          </w:p>
        </w:tc>
        <w:tc>
          <w:tcPr>
            <w:tcW w:type="dxa" w:w="6360"/>
            <w:tcBorders>
              <w:top w:val="single" w:color="D0D7D2" w:sz="1"/>
              <w:left w:val="single" w:color="D0D7D2" w:sz="1"/>
              <w:bottom w:val="single" w:color="D0D7D2" w:sz="1"/>
              <w:right w:val="single" w:color="D0D7D2" w:sz="1"/>
            </w:tcBorders>
            <w:shd w:fill="FFFFFF" w:val="clear"/>
            <w:tcMar>
              <w:top w:type="dxa" w:w="70"/>
              <w:left w:type="dxa" w:w="110"/>
              <w:bottom w:type="dxa" w:w="70"/>
              <w:right w:type="dxa" w:w="110"/>
            </w:tcMar>
          </w:tcPr>
          <w:p>
            <w:pPr>
              <w:spacing w:after="0"/>
            </w:pPr>
            <w:r>
              <w:rPr>
                <w:b w:val="false"/>
                <w:bCs w:val="false"/>
                <w:color w:val="1A1A1A"/>
                <w:sz w:val="19"/>
                <w:szCs w:val="19"/>
              </w:rPr>
              <w:t xml:space="preserve">This document.</w:t>
            </w:r>
          </w:p>
        </w:tc>
      </w:tr>
      <w:tr>
        <w:tc>
          <w:tcPr>
            <w:tcW w:type="dxa" w:w="300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Version History &amp; Release Notes</w:t>
            </w:r>
          </w:p>
        </w:tc>
        <w:tc>
          <w:tcPr>
            <w:tcW w:type="dxa" w:w="6360"/>
            <w:tcBorders>
              <w:top w:val="single" w:color="D0D7D2" w:sz="1"/>
              <w:left w:val="single" w:color="D0D7D2" w:sz="1"/>
              <w:bottom w:val="single" w:color="D0D7D2" w:sz="1"/>
              <w:right w:val="single" w:color="D0D7D2" w:sz="1"/>
            </w:tcBorders>
            <w:shd w:fill="F5F7F5" w:val="clear"/>
            <w:tcMar>
              <w:top w:type="dxa" w:w="70"/>
              <w:left w:type="dxa" w:w="110"/>
              <w:bottom w:type="dxa" w:w="70"/>
              <w:right w:type="dxa" w:w="110"/>
            </w:tcMar>
          </w:tcPr>
          <w:p>
            <w:pPr>
              <w:spacing w:after="0"/>
            </w:pPr>
            <w:r>
              <w:rPr>
                <w:b w:val="false"/>
                <w:bCs w:val="false"/>
                <w:color w:val="1A1A1A"/>
                <w:sz w:val="19"/>
                <w:szCs w:val="19"/>
              </w:rPr>
              <w:t xml:space="preserve">Slice-by-slice history v0.1 – v0.50.0.</w:t>
            </w:r>
          </w:p>
        </w:tc>
      </w:tr>
    </w:tbl>
    <w:p>
      <w:pPr>
        <w:pStyle w:val="Heading2"/>
      </w:pPr>
      <w:r>
        <w:t xml:space="preserve">10.2 Acceptance Checklist</w:t>
      </w:r>
    </w:p>
    <w:p>
      <w:pPr>
        <w:pStyle w:val="ListParagraph"/>
        <w:numPr>
          <w:ilvl w:val="0"/>
          <w:numId w:val="2"/>
        </w:numPr>
        <w:spacing w:after="60"/>
      </w:pPr>
      <w:r>
        <w:t xml:space="preserve">Fresh Supabase project provisioned from the bundled SQL; tables present.</w:t>
      </w:r>
    </w:p>
    <w:p>
      <w:pPr>
        <w:pStyle w:val="ListParagraph"/>
        <w:numPr>
          <w:ilvl w:val="0"/>
          <w:numId w:val="2"/>
        </w:numPr>
        <w:spacing w:after="60"/>
      </w:pPr>
      <w:r>
        <w:t xml:space="preserve">First admin bootstrapped and able to sign in and reach /admin.</w:t>
      </w:r>
    </w:p>
    <w:p>
      <w:pPr>
        <w:pStyle w:val="ListParagraph"/>
        <w:numPr>
          <w:ilvl w:val="0"/>
          <w:numId w:val="2"/>
        </w:numPr>
        <w:spacing w:after="60"/>
      </w:pPr>
      <w:r>
        <w:t xml:space="preserve">Application deployed; public dashboard and authenticated console reachable.</w:t>
      </w:r>
    </w:p>
    <w:p>
      <w:pPr>
        <w:pStyle w:val="ListParagraph"/>
        <w:numPr>
          <w:ilvl w:val="0"/>
          <w:numId w:val="2"/>
        </w:numPr>
        <w:spacing w:after="60"/>
      </w:pPr>
      <w:r>
        <w:t xml:space="preserve">Security smoke test passed (headers present, bogus path → 403, over-limit → 429).</w:t>
      </w:r>
    </w:p>
    <w:p>
      <w:pPr>
        <w:pStyle w:val="ListParagraph"/>
        <w:numPr>
          <w:ilvl w:val="0"/>
          <w:numId w:val="2"/>
        </w:numPr>
        <w:spacing w:after="60"/>
      </w:pPr>
      <w:r>
        <w:t xml:space="preserve">Optional services validated as needed (email send, CAPTCHA challenge, Upstash limiting).</w:t>
      </w:r>
    </w:p>
    <w:p>
      <w:pPr>
        <w:pStyle w:val="ListParagraph"/>
        <w:numPr>
          <w:ilvl w:val="0"/>
          <w:numId w:val="2"/>
        </w:numPr>
        <w:spacing w:after="60"/>
      </w:pPr>
      <w:r>
        <w:t xml:space="preserve">Team has access to the repository, host, Supabase project, and this document set.</w:t>
      </w:r>
    </w:p>
    <w:p>
      <w:pPr>
        <w:spacing w:after="160"/>
      </w:pPr>
    </w:p>
    <w:p>
      <w:pPr>
        <w:spacing w:after="120"/>
      </w:pPr>
      <w:r>
        <w:rPr>
          <w:i/>
          <w:iCs/>
          <w:color w:val="555555"/>
        </w:rPr>
        <w:t xml:space="preserve">End of Handover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2" w:sz="4" w:space="4"/>
      </w:pBdr>
      <w:tabs>
        <w:tab w:val="right" w:pos="9360"/>
      </w:tabs>
    </w:pPr>
    <w:r>
      <w:rPr>
        <w:color w:val="555555"/>
        <w:sz w:val="16"/>
        <w:szCs w:val="16"/>
      </w:rPr>
      <w:t xml:space="preserve">Confidential · TechnicoFlor (TFI)</w:t>
    </w:r>
    <w:r>
      <w:rPr>
        <w:color w:val="555555"/>
        <w:sz w:val="16"/>
        <w:szCs w:val="16"/>
      </w:rPr>
      <w:t xml:space="preserve">	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2" w:sz="4" w:space="4"/>
      </w:pBdr>
      <w:tabs>
        <w:tab w:val="right" w:pos="9360"/>
      </w:tabs>
    </w:pPr>
    <w:r>
      <w:rPr>
        <w:b/>
        <w:bCs/>
        <w:color w:val="1B5E32"/>
        <w:sz w:val="16"/>
        <w:szCs w:val="16"/>
      </w:rPr>
      <w:t xml:space="preserve">TechnicoFlor — Perfume ERP</w:t>
    </w:r>
    <w:r>
      <w:rPr>
        <w:color w:val="555555"/>
        <w:sz w:val="16"/>
        <w:szCs w:val="16"/>
      </w:rPr>
      <w:t xml:space="preserve">	Handover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Calibri" w:cs="Calibri" w:eastAsia="Calibri" w:hAnsi="Calibri"/>
      <w:b/>
      <w:bCs/>
      <w:color w:val="1B5E32"/>
      <w:sz w:val="56"/>
      <w:szCs w:val="56"/>
    </w:rPr>
  </w:style>
  <w:style w:type="paragraph" w:styleId="Subtitle">
    <w:name w:val="Subtitle"/>
    <w:basedOn w:val="Normal"/>
    <w:next w:val="Normal"/>
    <w:pPr>
      <w:spacing w:after="60" w:before="0"/>
    </w:pPr>
    <w:rPr>
      <w:rFonts w:ascii="Calibri" w:cs="Calibri" w:eastAsia="Calibri" w:hAnsi="Calibri"/>
      <w:color w:val="555555"/>
      <w:sz w:val="26"/>
      <w:szCs w:val="26"/>
    </w:rPr>
  </w:style>
  <w:style w:type="paragraph" w:styleId="Heading1">
    <w:name w:val="Heading 1"/>
    <w:basedOn w:val="Normal"/>
    <w:next w:val="Normal"/>
    <w:qFormat/>
    <w:pPr>
      <w:pBdr>
        <w:bottom w:val="single" w:color="2E7D46" w:sz="6" w:space="4"/>
      </w:pBdr>
      <w:spacing w:after="140" w:before="320"/>
      <w:outlineLvl w:val="0"/>
    </w:pPr>
    <w:rPr>
      <w:rFonts w:ascii="Calibri" w:cs="Calibri" w:eastAsia="Calibri" w:hAnsi="Calibri"/>
      <w:b/>
      <w:bCs/>
      <w:color w:val="1B5E32"/>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D46"/>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1A1A1A"/>
      <w:sz w:val="22"/>
      <w:szCs w:val="22"/>
    </w:rPr>
  </w:style>
  <w:style w:type="paragraph" w:styleId="Normal">
    <w:name w:val="Normal"/>
    <w:pPr>
      <w:spacing w:after="120" w:line="276"/>
    </w:pPr>
    <w:rPr>
      <w:rFonts w:ascii="Calibri" w:cs="Calibri" w:eastAsia="Calibri" w:hAnsi="Calibri"/>
      <w:sz w:val="21"/>
      <w:szCs w:val="21"/>
    </w:rPr>
  </w:style>
  <w:style w:type="paragraph" w:styleId="Caption">
    <w:name w:val="Caption"/>
    <w:basedOn w:val="Normal"/>
    <w:next w:val="Normal"/>
    <w:rPr>
      <w:i/>
      <w:iCs/>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Handover Document</dc:title>
  <dc:creator>TechnicoFlor</dc:creator>
  <dc:description>Perfume ERP — Manufacturing &amp; Distribution System</dc:description>
  <cp:lastModifiedBy>Un-named</cp:lastModifiedBy>
  <cp:revision>1</cp:revision>
  <dcterms:created xsi:type="dcterms:W3CDTF">2026-07-08T01:39:21.978Z</dcterms:created>
  <dcterms:modified xsi:type="dcterms:W3CDTF">2026-07-08T01:39:21.979Z</dcterms:modified>
</cp:coreProperties>
</file>

<file path=docProps/custom.xml><?xml version="1.0" encoding="utf-8"?>
<Properties xmlns="http://schemas.openxmlformats.org/officeDocument/2006/custom-properties" xmlns:vt="http://schemas.openxmlformats.org/officeDocument/2006/docPropsVTypes"/>
</file>