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Architecture and boundaries</w:t>
      </w:r>
      <w:r>
        <w:tab/>
        <w:t>3</w:t>
      </w:r>
    </w:p>
    <w:p>
      <w:pPr>
        <w:tabs>
          <w:tab w:val="right" w:leader="dot" w:pos="9360"/>
        </w:tabs>
      </w:pPr>
      <w:r>
        <w:t>Rework and acceptance status</w:t>
      </w:r>
      <w:r>
        <w:tab/>
        <w:t>3</w:t>
      </w:r>
    </w:p>
    <w:p>
      <w:pPr>
        <w:tabs>
          <w:tab w:val="right" w:leader="dot" w:pos="9360"/>
        </w:tabs>
      </w:pPr>
      <w:r>
        <w:t>Build and deployment</w:t>
      </w:r>
      <w:r>
        <w:tab/>
        <w:t>3</w:t>
      </w:r>
    </w:p>
    <w:p>
      <w:pPr>
        <w:tabs>
          <w:tab w:val="right" w:leader="dot" w:pos="9360"/>
        </w:tabs>
      </w:pPr>
      <w:r>
        <w:t>Input acquisition and project scope</w:t>
      </w:r>
      <w:r>
        <w:tab/>
        <w:t>4</w:t>
      </w:r>
    </w:p>
    <w:p>
      <w:pPr>
        <w:tabs>
          <w:tab w:val="right" w:leader="dot" w:pos="9360"/>
        </w:tabs>
      </w:pPr>
      <w:r>
        <w:t>Syntax contracts and limits</w:t>
      </w:r>
      <w:r>
        <w:tab/>
        <w:t>4</w:t>
      </w:r>
    </w:p>
    <w:p>
      <w:pPr>
        <w:tabs>
          <w:tab w:val="right" w:leader="dot" w:pos="9360"/>
        </w:tabs>
      </w:pPr>
      <w:r>
        <w:t>Symbols and typed relationships</w:t>
      </w:r>
      <w:r>
        <w:tab/>
        <w:t>4</w:t>
      </w:r>
    </w:p>
    <w:p>
      <w:pPr>
        <w:tabs>
          <w:tab w:val="right" w:leader="dot" w:pos="9360"/>
        </w:tabs>
      </w:pPr>
      <w:r>
        <w:t>Control flow and impact</w:t>
      </w:r>
      <w:r>
        <w:tab/>
        <w:t>5</w:t>
      </w:r>
    </w:p>
    <w:p>
      <w:pPr>
        <w:tabs>
          <w:tab w:val="right" w:leader="dot" w:pos="9360"/>
        </w:tabs>
      </w:pPr>
      <w:r>
        <w:t>SQLite generations and durability</w:t>
      </w:r>
      <w:r>
        <w:tab/>
        <w:t>5</w:t>
      </w:r>
    </w:p>
    <w:p>
      <w:pPr>
        <w:tabs>
          <w:tab w:val="right" w:leader="dot" w:pos="9360"/>
        </w:tabs>
      </w:pPr>
      <w:r>
        <w:t>Evidence and immutable history</w:t>
      </w:r>
      <w:r>
        <w:tab/>
        <w:t>5</w:t>
      </w:r>
    </w:p>
    <w:p>
      <w:pPr>
        <w:tabs>
          <w:tab w:val="right" w:leader="dot" w:pos="9360"/>
        </w:tabs>
      </w:pPr>
      <w:r>
        <w:t>Background coordination and cached views</w:t>
      </w:r>
      <w:r>
        <w:tab/>
        <w:t>6</w:t>
      </w:r>
    </w:p>
    <w:p>
      <w:pPr>
        <w:tabs>
          <w:tab w:val="right" w:leader="dot" w:pos="9360"/>
        </w:tabs>
      </w:pPr>
      <w:r>
        <w:t>FMX navigation and visualization</w:t>
      </w:r>
      <w:r>
        <w:tab/>
        <w:t>6</w:t>
      </w:r>
    </w:p>
    <w:p>
      <w:pPr>
        <w:tabs>
          <w:tab w:val="right" w:leader="dot" w:pos="9360"/>
        </w:tabs>
      </w:pPr>
      <w:r>
        <w:t>Curated knowledge and review</w:t>
      </w:r>
      <w:r>
        <w:tab/>
        <w:t>6</w:t>
      </w:r>
    </w:p>
    <w:p>
      <w:pPr>
        <w:tabs>
          <w:tab w:val="right" w:leader="dot" w:pos="9360"/>
        </w:tabs>
      </w:pPr>
      <w:r>
        <w:t>Canonical publication and privacy</w:t>
      </w:r>
      <w:r>
        <w:tab/>
        <w:t>7</w:t>
      </w:r>
    </w:p>
    <w:p>
      <w:pPr>
        <w:tabs>
          <w:tab w:val="right" w:leader="dot" w:pos="9360"/>
        </w:tabs>
      </w:pPr>
      <w:r>
        <w:t>HTML guides and bundle validation</w:t>
      </w:r>
      <w:r>
        <w:tab/>
        <w:t>7</w:t>
      </w:r>
    </w:p>
    <w:p>
      <w:pPr>
        <w:tabs>
          <w:tab w:val="right" w:leader="dot" w:pos="9360"/>
        </w:tabs>
      </w:pPr>
      <w:r>
        <w:t>Translation boundary</w:t>
      </w:r>
      <w:r>
        <w:tab/>
        <w:t>7</w:t>
      </w:r>
    </w:p>
    <w:p>
      <w:pPr>
        <w:tabs>
          <w:tab w:val="right" w:leader="dot" w:pos="9360"/>
        </w:tabs>
      </w:pPr>
      <w:r>
        <w:t>Verification and release discipline</w:t>
      </w:r>
      <w:r>
        <w:tab/>
        <w:t>8</w:t>
      </w:r>
    </w:p>
    <w:p>
      <w:pPr>
        <w:tabs>
          <w:tab w:val="right" w:leader="dot" w:pos="9360"/>
        </w:tabs>
      </w:pPr>
      <w:r>
        <w:t>Source and revision evidence</w:t>
      </w:r>
      <w:r>
        <w:tab/>
        <w:t>8</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Affected-only semantic recomputation, broader external-definition interpretation and retention/continuity controls remain incomplete.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migrations 001_foundation.sql and 002_constraints.sql,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DPH-WP2-1,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2 is created through two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The default is detached until explicit source attachment. Connected checks compare manifest fingerprints and selection identity every ten seconds. Syntax cache reuse is bounded; semantic recomputation is currently conservative rather than a claim of a minimal incremental semantic solver.</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bookmarks reset on a new captured generation. Inspector output retains source metadata and serialized properties. Source memo navigation is permitted only after live hash validation.</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Learning and help retain the index-only policy.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is deliberately unconfigured because the exact Atlas product, transport, licensing and confidentiality have not been selected.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Before each authorized phase, create the full D: pre-change backup and verify SHA256. Review intended Git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DPH.Analysis.Explanations.pas</w:t>
      </w:r>
    </w:p>
    <w:p>
      <w:r>
        <w:rPr>
          <w:rFonts w:ascii="Consolas" w:hAnsi="Consolas"/>
          <w:sz w:val="16"/>
        </w:rPr>
        <w:t>c4e1ae7eebad50048fad16025f9aeb49884c94321cafef7b4ba5227a39aa3444</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fc94776733a225a0c8bea34797ee35e0bc7160dac32fa268a92a83e6f0b8504f</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e4bcf5a33bbed2cf2e9906aed11262bcb14ba9df295719e28dfbb1ad111ee0b6</w:t>
      </w:r>
    </w:p>
    <w:p>
      <w:pPr>
        <w:keepNext/>
      </w:pPr>
      <w:r>
        <w:t>DPH.Publish.Export.pas</w:t>
      </w:r>
    </w:p>
    <w:p>
      <w:r>
        <w:rPr>
          <w:rFonts w:ascii="Consolas" w:hAnsi="Consolas"/>
          <w:sz w:val="16"/>
        </w:rPr>
        <w:t>7fde26fc5fb07cdae8ca6bf7aa398ca442121d6da9edafc0f602c9478504c5ff</w:t>
      </w:r>
    </w:p>
    <w:p>
      <w:pPr>
        <w:keepNext/>
      </w:pPr>
      <w:r>
        <w:t>DPH.Publish.Model.pas</w:t>
      </w:r>
    </w:p>
    <w:p>
      <w:r>
        <w:rPr>
          <w:rFonts w:ascii="Consolas" w:hAnsi="Consolas"/>
          <w:sz w:val="16"/>
        </w:rPr>
        <w:t>38f2800eb6b9337263a39a8b7aca47ae9bfae3bb79a0cd3e5be6f2a12aa4826f</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16648fd015ff3821f189f7985042522c6bc27c451943404df8d3a8ec19d514a9</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2131deebd75572ca43ddfb5c578f1a331aea4367939fae6de7cf6582d95f3b49</w:t>
      </w:r>
    </w:p>
    <w:p>
      <w:pPr>
        <w:keepNext/>
      </w:pPr>
      <w:r>
        <w:t>DPH.Workspace.Model.pas</w:t>
      </w:r>
    </w:p>
    <w:p>
      <w:r>
        <w:rPr>
          <w:rFonts w:ascii="Consolas" w:hAnsi="Consolas"/>
          <w:sz w:val="16"/>
        </w:rPr>
        <w:t>7528712912d9c4f2f7f8b45f5a12c6427efb4ee789114671c3332d0bc8e5934e</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7ec9fafef72a17711fb6bfb529fb662a76f49269409f7d1177048c418c7dbf8f</w:t>
      </w:r>
    </w:p>
    <w:p>
      <w:pPr>
        <w:keepNext/>
      </w:pPr>
      <w:r>
        <w:t>DPH.UI.Main.fmx</w:t>
      </w:r>
    </w:p>
    <w:p>
      <w:r>
        <w:rPr>
          <w:rFonts w:ascii="Consolas" w:hAnsi="Consolas"/>
          <w:sz w:val="16"/>
        </w:rPr>
        <w:t>783b9857ceb068bc06c1b6a2499755159af0c80cff1c1b96b968f25cdefa6889</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