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Resolve captured dataset and field bindings</w:t>
      </w:r>
      <w:r>
        <w:rPr>
          <w:sz w:val="19"/>
        </w:rPr>
        <w:tab/>
        <w:t>25</w:t>
      </w:r>
    </w:p>
    <w:p>
      <w:pPr>
        <w:spacing w:after="0" w:line="240" w:lineRule="auto"/>
        <w:tabs>
          <w:tab w:val="right" w:leader="dot" w:pos="9360"/>
        </w:tabs>
      </w:pPr>
      <w:r>
        <w:rPr>
          <w:sz w:val="19"/>
        </w:rPr>
        <w:t>Recognize captured database operation requests</w:t>
      </w:r>
      <w:r>
        <w:rPr>
          <w:sz w:val="19"/>
        </w:rPr>
        <w:tab/>
        <w:t>26</w:t>
      </w:r>
    </w:p>
    <w:p>
      <w:pPr>
        <w:spacing w:after="0" w:line="240" w:lineRule="auto"/>
        <w:tabs>
          <w:tab w:val="right" w:leader="dot" w:pos="9360"/>
        </w:tabs>
      </w:pPr>
      <w:r>
        <w:rPr>
          <w:sz w:val="19"/>
        </w:rPr>
        <w:t>Trace captured transaction boundaries</w:t>
      </w:r>
      <w:r>
        <w:rPr>
          <w:sz w:val="19"/>
        </w:rPr>
        <w:tab/>
        <w:t>26</w:t>
      </w:r>
    </w:p>
    <w:p>
      <w:pPr>
        <w:spacing w:after="0" w:line="240" w:lineRule="auto"/>
        <w:tabs>
          <w:tab w:val="right" w:leader="dot" w:pos="9360"/>
        </w:tabs>
      </w:pPr>
      <w:r>
        <w:rPr>
          <w:sz w:val="19"/>
        </w:rPr>
        <w:t>Source and revision evidence</w:t>
      </w:r>
      <w:r>
        <w:rPr>
          <w:sz w:val="19"/>
        </w:rPr>
        <w:tab/>
        <w:t>27</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DPH-WP3-14.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DPH-WP3-14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DPH-WP3-14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DPH-WP3-14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DPH-WP3-14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3d70d3c202205366af62510c6a4984d03af95a05332297a6e85ee25190455b67</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54a2cbd7b10571e67676a2ef06b13996801b13f5f42e7fce7825f8522a9488bd</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424137052f7b22f79f0d338613e73e668dc017d1c1f7dd6999e95c90b514ade2</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1f2494856ed8e4101ea6789e8aea774a916c05cafc57f383065f17b9e752b091</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