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10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Architecture and boundaries</w:t>
      </w:r>
      <w:r>
        <w:tab/>
        <w:t>3</w:t>
      </w:r>
    </w:p>
    <w:p>
      <w:pPr>
        <w:tabs>
          <w:tab w:val="right" w:leader="dot" w:pos="9360"/>
        </w:tabs>
      </w:pPr>
      <w:r>
        <w:t>Build and deployment</w:t>
      </w:r>
      <w:r>
        <w:tab/>
        <w:t>3</w:t>
      </w:r>
    </w:p>
    <w:p>
      <w:pPr>
        <w:tabs>
          <w:tab w:val="right" w:leader="dot" w:pos="9360"/>
        </w:tabs>
      </w:pPr>
      <w:r>
        <w:t>Input acquisition and project scope</w:t>
      </w:r>
      <w:r>
        <w:tab/>
        <w:t>3</w:t>
      </w:r>
    </w:p>
    <w:p>
      <w:pPr>
        <w:tabs>
          <w:tab w:val="right" w:leader="dot" w:pos="9360"/>
        </w:tabs>
      </w:pPr>
      <w:r>
        <w:t>Syntax contracts and limits</w:t>
      </w:r>
      <w:r>
        <w:tab/>
        <w:t>4</w:t>
      </w:r>
    </w:p>
    <w:p>
      <w:pPr>
        <w:tabs>
          <w:tab w:val="right" w:leader="dot" w:pos="9360"/>
        </w:tabs>
      </w:pPr>
      <w:r>
        <w:t>Symbols and typed relationships</w:t>
      </w:r>
      <w:r>
        <w:tab/>
        <w:t>4</w:t>
      </w:r>
    </w:p>
    <w:p>
      <w:pPr>
        <w:tabs>
          <w:tab w:val="right" w:leader="dot" w:pos="9360"/>
        </w:tabs>
      </w:pPr>
      <w:r>
        <w:t>Control flow and impact</w:t>
      </w:r>
      <w:r>
        <w:tab/>
        <w:t>4</w:t>
      </w:r>
    </w:p>
    <w:p>
      <w:pPr>
        <w:tabs>
          <w:tab w:val="right" w:leader="dot" w:pos="9360"/>
        </w:tabs>
      </w:pPr>
      <w:r>
        <w:t>SQLite generations and durability</w:t>
      </w:r>
      <w:r>
        <w:tab/>
        <w:t>4</w:t>
      </w:r>
    </w:p>
    <w:p>
      <w:pPr>
        <w:tabs>
          <w:tab w:val="right" w:leader="dot" w:pos="9360"/>
        </w:tabs>
      </w:pPr>
      <w:r>
        <w:t>Evidence and immutable history</w:t>
      </w:r>
      <w:r>
        <w:tab/>
        <w:t>5</w:t>
      </w:r>
    </w:p>
    <w:p>
      <w:pPr>
        <w:tabs>
          <w:tab w:val="right" w:leader="dot" w:pos="9360"/>
        </w:tabs>
      </w:pPr>
      <w:r>
        <w:t>Background coordination and cached views</w:t>
      </w:r>
      <w:r>
        <w:tab/>
        <w:t>5</w:t>
      </w:r>
    </w:p>
    <w:p>
      <w:pPr>
        <w:tabs>
          <w:tab w:val="right" w:leader="dot" w:pos="9360"/>
        </w:tabs>
      </w:pPr>
      <w:r>
        <w:t>FMX navigation and visualization</w:t>
      </w:r>
      <w:r>
        <w:tab/>
        <w:t>6</w:t>
      </w:r>
    </w:p>
    <w:p>
      <w:pPr>
        <w:tabs>
          <w:tab w:val="right" w:leader="dot" w:pos="9360"/>
        </w:tabs>
      </w:pPr>
      <w:r>
        <w:t>Curated knowledge and review</w:t>
      </w:r>
      <w:r>
        <w:tab/>
        <w:t>6</w:t>
      </w:r>
    </w:p>
    <w:p>
      <w:pPr>
        <w:tabs>
          <w:tab w:val="right" w:leader="dot" w:pos="9360"/>
        </w:tabs>
      </w:pPr>
      <w:r>
        <w:t>Canonical publication and privacy</w:t>
      </w:r>
      <w:r>
        <w:tab/>
        <w:t>6</w:t>
      </w:r>
    </w:p>
    <w:p>
      <w:pPr>
        <w:tabs>
          <w:tab w:val="right" w:leader="dot" w:pos="9360"/>
        </w:tabs>
      </w:pPr>
      <w:r>
        <w:t>HTML guides and bundle validation</w:t>
      </w:r>
      <w:r>
        <w:tab/>
        <w:t>7</w:t>
      </w:r>
    </w:p>
    <w:p>
      <w:pPr>
        <w:tabs>
          <w:tab w:val="right" w:leader="dot" w:pos="9360"/>
        </w:tabs>
      </w:pPr>
      <w:r>
        <w:t>Translation boundary</w:t>
      </w:r>
      <w:r>
        <w:tab/>
        <w:t>7</w:t>
      </w:r>
    </w:p>
    <w:p>
      <w:pPr>
        <w:tabs>
          <w:tab w:val="right" w:leader="dot" w:pos="9360"/>
        </w:tabs>
      </w:pPr>
      <w:r>
        <w:t>Verification and release discipline</w:t>
      </w:r>
      <w:r>
        <w:tab/>
        <w:t>7</w:t>
      </w:r>
    </w:p>
    <w:p>
      <w:pPr>
        <w:tabs>
          <w:tab w:val="right" w:leader="dot" w:pos="9360"/>
        </w:tabs>
      </w:pPr>
      <w:r>
        <w:t>Source and revision evidence</w:t>
      </w:r>
      <w:r>
        <w:tab/>
        <w:t>8</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All application controls are serialized in DPH.UI.Main.fmx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migrations 001_foundation.sql and 002_constraints.sql,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DPH-WP2-1,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2 is created through two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The default is detached until explicit source attachment. Connected checks compare manifest fingerprints and selection identity every ten seconds. Syntax cache reuse is bounded; semantic recomputation is currently conservative rather than a claim of a minimal incremental semantic solver.</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bookmarks reset on a new captured generation. Inspector output retains source metadata and serialized properties. Source memo navigation is permitted only after live hash validation.</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title/kind.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WebView2 navigation policy permits only the authorized local index and about:blank, with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is deliberately unconfigured because the exact Atlas product, transport, licensing and confidentiality have not been selected. External providers require explicit consent. The current adapter throws before transmission, and tests use an offline mock.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Before each authorized phase, create the full D: pre-change backup and verify SHA256. Review intended Git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cad87d7a998ace018b3e57e430ce4737e2679adc378091782aefd07685c803a5</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ba8df0c1f86f6ecddfa605438764e8dbe5a1dcc858e5a625c677c59a63f77bef</w:t>
      </w:r>
    </w:p>
    <w:p>
      <w:pPr>
        <w:keepNext/>
      </w:pPr>
      <w:r>
        <w:t>DPH.Publish.Export.pas</w:t>
      </w:r>
    </w:p>
    <w:p>
      <w:r>
        <w:rPr>
          <w:rFonts w:ascii="Consolas" w:hAnsi="Consolas"/>
          <w:sz w:val="16"/>
        </w:rPr>
        <w:t>4a725ef7f3f055e8092bb666d0b5bea6efa40e18f9d052595eb99583d963e122</w:t>
      </w:r>
    </w:p>
    <w:p>
      <w:pPr>
        <w:keepNext/>
      </w:pPr>
      <w:r>
        <w:t>DPH.Publish.Model.pas</w:t>
      </w:r>
    </w:p>
    <w:p>
      <w:r>
        <w:rPr>
          <w:rFonts w:ascii="Consolas" w:hAnsi="Consolas"/>
          <w:sz w:val="16"/>
        </w:rPr>
        <w:t>c3aa365fdc3fc34e5178a8676aeb2d113a4121f57966d7c734ab3375692d7d5e</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f7eef8833ab8547d7308307f2b98120fa165865bb3143cf0d4fcad2c711acc4d</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36943dcb465a3e3a1a87ecb34053ceb5be8710c59cdd9bac1ba5af267cadb806</w:t>
      </w:r>
    </w:p>
    <w:p>
      <w:pPr>
        <w:keepNext/>
      </w:pPr>
      <w:r>
        <w:t>DPH.Workspace.Model.pas</w:t>
      </w:r>
    </w:p>
    <w:p>
      <w:r>
        <w:rPr>
          <w:rFonts w:ascii="Consolas" w:hAnsi="Consolas"/>
          <w:sz w:val="16"/>
        </w:rPr>
        <w:t>99b456e51f003453beb53892d419af0bd98b747a08062391e0a709ca803d78c7</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8e9e7fcca3f0d7dc6d13c4cbd3538b8c89e5754f8561b176ca244258419bd6c6</w:t>
      </w:r>
    </w:p>
    <w:p>
      <w:pPr>
        <w:keepNext/>
      </w:pPr>
      <w:r>
        <w:t>DPH.UI.Main.fmx</w:t>
      </w:r>
    </w:p>
    <w:p>
      <w:r>
        <w:rPr>
          <w:rFonts w:ascii="Consolas" w:hAnsi="Consolas"/>
          <w:sz w:val="16"/>
        </w:rPr>
        <w:t>26672ce9b236a79b3ed89a9b8ac534718f06f711d556c34929e271b9bf894f67</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