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12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19"/>
        </w:rPr>
        <w:t>Architecture and boundaries</w:t>
      </w:r>
      <w:r>
        <w:rPr>
          <w:sz w:val="19"/>
        </w:rPr>
        <w:tab/>
        <w:t>3</w:t>
      </w:r>
    </w:p>
    <w:p>
      <w:pPr>
        <w:spacing w:after="0" w:line="240" w:lineRule="auto"/>
        <w:tabs>
          <w:tab w:val="right" w:leader="dot" w:pos="9360"/>
        </w:tabs>
      </w:pPr>
      <w:r>
        <w:rPr>
          <w:sz w:val="19"/>
        </w:rPr>
        <w:t>Rework and acceptance status</w:t>
      </w:r>
      <w:r>
        <w:rPr>
          <w:sz w:val="19"/>
        </w:rPr>
        <w:tab/>
        <w:t>3</w:t>
      </w:r>
    </w:p>
    <w:p>
      <w:pPr>
        <w:spacing w:after="0" w:line="240" w:lineRule="auto"/>
        <w:tabs>
          <w:tab w:val="right" w:leader="dot" w:pos="9360"/>
        </w:tabs>
      </w:pPr>
      <w:r>
        <w:rPr>
          <w:sz w:val="19"/>
        </w:rPr>
        <w:t>Build and deployment</w:t>
      </w:r>
      <w:r>
        <w:rPr>
          <w:sz w:val="19"/>
        </w:rPr>
        <w:tab/>
        <w:t>3</w:t>
      </w:r>
    </w:p>
    <w:p>
      <w:pPr>
        <w:spacing w:after="0" w:line="240" w:lineRule="auto"/>
        <w:tabs>
          <w:tab w:val="right" w:leader="dot" w:pos="9360"/>
        </w:tabs>
      </w:pPr>
      <w:r>
        <w:rPr>
          <w:sz w:val="19"/>
        </w:rPr>
        <w:t>Input acquisition and project scope</w:t>
      </w:r>
      <w:r>
        <w:rPr>
          <w:sz w:val="19"/>
        </w:rPr>
        <w:tab/>
        <w:t>4</w:t>
      </w:r>
    </w:p>
    <w:p>
      <w:pPr>
        <w:spacing w:after="0" w:line="240" w:lineRule="auto"/>
        <w:tabs>
          <w:tab w:val="right" w:leader="dot" w:pos="9360"/>
        </w:tabs>
      </w:pPr>
      <w:r>
        <w:rPr>
          <w:sz w:val="19"/>
        </w:rPr>
        <w:t>Syntax contracts and limits</w:t>
      </w:r>
      <w:r>
        <w:rPr>
          <w:sz w:val="19"/>
        </w:rPr>
        <w:tab/>
        <w:t>4</w:t>
      </w:r>
    </w:p>
    <w:p>
      <w:pPr>
        <w:spacing w:after="0" w:line="240" w:lineRule="auto"/>
        <w:tabs>
          <w:tab w:val="right" w:leader="dot" w:pos="9360"/>
        </w:tabs>
      </w:pPr>
      <w:r>
        <w:rPr>
          <w:sz w:val="19"/>
        </w:rPr>
        <w:t>Symbols and typed relationships</w:t>
      </w:r>
      <w:r>
        <w:rPr>
          <w:sz w:val="19"/>
        </w:rPr>
        <w:tab/>
        <w:t>4</w:t>
      </w:r>
    </w:p>
    <w:p>
      <w:pPr>
        <w:spacing w:after="0" w:line="240" w:lineRule="auto"/>
        <w:tabs>
          <w:tab w:val="right" w:leader="dot" w:pos="9360"/>
        </w:tabs>
      </w:pPr>
      <w:r>
        <w:rPr>
          <w:sz w:val="19"/>
        </w:rPr>
        <w:t>Control flow and impact</w:t>
      </w:r>
      <w:r>
        <w:rPr>
          <w:sz w:val="19"/>
        </w:rPr>
        <w:tab/>
        <w:t>5</w:t>
      </w:r>
    </w:p>
    <w:p>
      <w:pPr>
        <w:spacing w:after="0" w:line="240" w:lineRule="auto"/>
        <w:tabs>
          <w:tab w:val="right" w:leader="dot" w:pos="9360"/>
        </w:tabs>
      </w:pPr>
      <w:r>
        <w:rPr>
          <w:sz w:val="19"/>
        </w:rPr>
        <w:t>SQLite generations and durability</w:t>
      </w:r>
      <w:r>
        <w:rPr>
          <w:sz w:val="19"/>
        </w:rPr>
        <w:tab/>
        <w:t>5</w:t>
      </w:r>
    </w:p>
    <w:p>
      <w:pPr>
        <w:spacing w:after="0" w:line="240" w:lineRule="auto"/>
        <w:tabs>
          <w:tab w:val="right" w:leader="dot" w:pos="9360"/>
        </w:tabs>
      </w:pPr>
      <w:r>
        <w:rPr>
          <w:sz w:val="19"/>
        </w:rPr>
        <w:t>Evidence and immutable history</w:t>
      </w:r>
      <w:r>
        <w:rPr>
          <w:sz w:val="19"/>
        </w:rPr>
        <w:tab/>
        <w:t>5</w:t>
      </w:r>
    </w:p>
    <w:p>
      <w:pPr>
        <w:spacing w:after="0" w:line="240" w:lineRule="auto"/>
        <w:tabs>
          <w:tab w:val="right" w:leader="dot" w:pos="9360"/>
        </w:tabs>
      </w:pPr>
      <w:r>
        <w:rPr>
          <w:sz w:val="19"/>
        </w:rPr>
        <w:t>Background coordination and cached views</w:t>
      </w:r>
      <w:r>
        <w:rPr>
          <w:sz w:val="19"/>
        </w:rPr>
        <w:tab/>
        <w:t>6</w:t>
      </w:r>
    </w:p>
    <w:p>
      <w:pPr>
        <w:spacing w:after="0" w:line="240" w:lineRule="auto"/>
        <w:tabs>
          <w:tab w:val="right" w:leader="dot" w:pos="9360"/>
        </w:tabs>
      </w:pPr>
      <w:r>
        <w:rPr>
          <w:sz w:val="19"/>
        </w:rPr>
        <w:t>FMX navigation and visualization</w:t>
      </w:r>
      <w:r>
        <w:rPr>
          <w:sz w:val="19"/>
        </w:rPr>
        <w:tab/>
        <w:t>6</w:t>
      </w:r>
    </w:p>
    <w:p>
      <w:pPr>
        <w:spacing w:after="0" w:line="240" w:lineRule="auto"/>
        <w:tabs>
          <w:tab w:val="right" w:leader="dot" w:pos="9360"/>
        </w:tabs>
      </w:pPr>
      <w:r>
        <w:rPr>
          <w:sz w:val="19"/>
        </w:rPr>
        <w:t>Curated knowledge and review</w:t>
      </w:r>
      <w:r>
        <w:rPr>
          <w:sz w:val="19"/>
        </w:rPr>
        <w:tab/>
        <w:t>6</w:t>
      </w:r>
    </w:p>
    <w:p>
      <w:pPr>
        <w:spacing w:after="0" w:line="240" w:lineRule="auto"/>
        <w:tabs>
          <w:tab w:val="right" w:leader="dot" w:pos="9360"/>
        </w:tabs>
      </w:pPr>
      <w:r>
        <w:rPr>
          <w:sz w:val="19"/>
        </w:rPr>
        <w:t>Canonical publication and privacy</w:t>
      </w:r>
      <w:r>
        <w:rPr>
          <w:sz w:val="19"/>
        </w:rPr>
        <w:tab/>
        <w:t>7</w:t>
      </w:r>
    </w:p>
    <w:p>
      <w:pPr>
        <w:spacing w:after="0" w:line="240" w:lineRule="auto"/>
        <w:tabs>
          <w:tab w:val="right" w:leader="dot" w:pos="9360"/>
        </w:tabs>
      </w:pPr>
      <w:r>
        <w:rPr>
          <w:sz w:val="19"/>
        </w:rPr>
        <w:t>HTML guides and bundle validation</w:t>
      </w:r>
      <w:r>
        <w:rPr>
          <w:sz w:val="19"/>
        </w:rPr>
        <w:tab/>
        <w:t>7</w:t>
      </w:r>
    </w:p>
    <w:p>
      <w:pPr>
        <w:spacing w:after="0" w:line="240" w:lineRule="auto"/>
        <w:tabs>
          <w:tab w:val="right" w:leader="dot" w:pos="9360"/>
        </w:tabs>
      </w:pPr>
      <w:r>
        <w:rPr>
          <w:sz w:val="19"/>
        </w:rPr>
        <w:t>Translation boundary</w:t>
      </w:r>
      <w:r>
        <w:rPr>
          <w:sz w:val="19"/>
        </w:rPr>
        <w:tab/>
        <w:t>8</w:t>
      </w:r>
    </w:p>
    <w:p>
      <w:pPr>
        <w:spacing w:after="0" w:line="240" w:lineRule="auto"/>
        <w:tabs>
          <w:tab w:val="right" w:leader="dot" w:pos="9360"/>
        </w:tabs>
      </w:pPr>
      <w:r>
        <w:rPr>
          <w:sz w:val="19"/>
        </w:rPr>
        <w:t>Verification and release discipline</w:t>
      </w:r>
      <w:r>
        <w:rPr>
          <w:sz w:val="19"/>
        </w:rPr>
        <w:tab/>
        <w:t>8</w:t>
      </w:r>
    </w:p>
    <w:p>
      <w:pPr>
        <w:spacing w:after="0" w:line="240" w:lineRule="auto"/>
        <w:tabs>
          <w:tab w:val="right" w:leader="dot" w:pos="9360"/>
        </w:tabs>
      </w:pPr>
      <w:r>
        <w:rPr>
          <w:sz w:val="19"/>
        </w:rPr>
        <w:t>Current semantic cache and extended evidence</w:t>
      </w:r>
      <w:r>
        <w:rPr>
          <w:sz w:val="19"/>
        </w:rPr>
        <w:tab/>
        <w:t>8</w:t>
      </w:r>
    </w:p>
    <w:p>
      <w:pPr>
        <w:spacing w:after="0" w:line="240" w:lineRule="auto"/>
        <w:tabs>
          <w:tab w:val="right" w:leader="dot" w:pos="9360"/>
        </w:tabs>
      </w:pPr>
      <w:r>
        <w:rPr>
          <w:sz w:val="19"/>
        </w:rPr>
        <w:t>Current schema and authored document contracts</w:t>
      </w:r>
      <w:r>
        <w:rPr>
          <w:sz w:val="19"/>
        </w:rPr>
        <w:tab/>
        <w:t>9</w:t>
      </w:r>
    </w:p>
    <w:p>
      <w:pPr>
        <w:spacing w:after="0" w:line="240" w:lineRule="auto"/>
        <w:tabs>
          <w:tab w:val="right" w:leader="dot" w:pos="9360"/>
        </w:tabs>
      </w:pPr>
      <w:r>
        <w:rPr>
          <w:sz w:val="19"/>
        </w:rPr>
        <w:t>Native review and learning projections</w:t>
      </w:r>
      <w:r>
        <w:rPr>
          <w:sz w:val="19"/>
        </w:rPr>
        <w:tab/>
        <w:t>9</w:t>
      </w:r>
    </w:p>
    <w:p>
      <w:pPr>
        <w:spacing w:after="0" w:line="240" w:lineRule="auto"/>
        <w:tabs>
          <w:tab w:val="right" w:leader="dot" w:pos="9360"/>
        </w:tabs>
      </w:pPr>
      <w:r>
        <w:rPr>
          <w:sz w:val="19"/>
        </w:rPr>
        <w:t>Saved observation persistence</w:t>
      </w:r>
      <w:r>
        <w:rPr>
          <w:sz w:val="19"/>
        </w:rPr>
        <w:tab/>
        <w:t>9</w:t>
      </w:r>
    </w:p>
    <w:p>
      <w:pPr>
        <w:spacing w:after="0" w:line="240" w:lineRule="auto"/>
        <w:tabs>
          <w:tab w:val="right" w:leader="dot" w:pos="9360"/>
        </w:tabs>
      </w:pPr>
      <w:r>
        <w:rPr>
          <w:sz w:val="19"/>
        </w:rPr>
        <w:t>Regression commands and evidence</w:t>
      </w:r>
      <w:r>
        <w:rPr>
          <w:sz w:val="19"/>
        </w:rPr>
        <w:tab/>
        <w:t>10</w:t>
      </w:r>
    </w:p>
    <w:p>
      <w:pPr>
        <w:spacing w:after="0" w:line="240" w:lineRule="auto"/>
        <w:tabs>
          <w:tab w:val="right" w:leader="dot" w:pos="9360"/>
        </w:tabs>
      </w:pPr>
      <w:r>
        <w:rPr>
          <w:sz w:val="19"/>
        </w:rPr>
        <w:t>Rebuild and inspect these manuals</w:t>
      </w:r>
      <w:r>
        <w:rPr>
          <w:sz w:val="19"/>
        </w:rPr>
        <w:tab/>
        <w:t>10</w:t>
      </w:r>
    </w:p>
    <w:p>
      <w:pPr>
        <w:spacing w:after="0" w:line="240" w:lineRule="auto"/>
        <w:tabs>
          <w:tab w:val="right" w:leader="dot" w:pos="9360"/>
        </w:tabs>
      </w:pPr>
      <w:r>
        <w:rPr>
          <w:sz w:val="19"/>
        </w:rPr>
        <w:t>Business glossary implementation and checks</w:t>
      </w:r>
      <w:r>
        <w:rPr>
          <w:sz w:val="19"/>
        </w:rPr>
        <w:tab/>
        <w:t>11</w:t>
      </w:r>
    </w:p>
    <w:p>
      <w:pPr>
        <w:spacing w:after="0" w:line="240" w:lineRule="auto"/>
        <w:tabs>
          <w:tab w:val="right" w:leader="dot" w:pos="9360"/>
        </w:tabs>
      </w:pPr>
      <w:r>
        <w:rPr>
          <w:sz w:val="19"/>
        </w:rPr>
        <w:t>Offline translation and localized publication</w:t>
      </w:r>
      <w:r>
        <w:rPr>
          <w:sz w:val="19"/>
        </w:rPr>
        <w:tab/>
        <w:t>11</w:t>
      </w:r>
    </w:p>
    <w:p>
      <w:pPr>
        <w:spacing w:after="0" w:line="240" w:lineRule="auto"/>
        <w:tabs>
          <w:tab w:val="right" w:leader="dot" w:pos="9360"/>
        </w:tabs>
      </w:pPr>
      <w:r>
        <w:rPr>
          <w:sz w:val="19"/>
        </w:rPr>
        <w:t>Native validation and release evidence</w:t>
      </w:r>
      <w:r>
        <w:rPr>
          <w:sz w:val="19"/>
        </w:rPr>
        <w:tab/>
        <w:t>12</w:t>
      </w:r>
    </w:p>
    <w:p>
      <w:pPr>
        <w:spacing w:after="0" w:line="240" w:lineRule="auto"/>
        <w:tabs>
          <w:tab w:val="right" w:leader="dot" w:pos="9360"/>
        </w:tabs>
      </w:pPr>
      <w:r>
        <w:rPr>
          <w:sz w:val="19"/>
        </w:rPr>
        <w:t>Structured project profile contract</w:t>
      </w:r>
      <w:r>
        <w:rPr>
          <w:sz w:val="19"/>
        </w:rPr>
        <w:tab/>
        <w:t>12</w:t>
      </w:r>
    </w:p>
    <w:p>
      <w:pPr>
        <w:spacing w:after="0" w:line="240" w:lineRule="auto"/>
        <w:tabs>
          <w:tab w:val="right" w:leader="dot" w:pos="9360"/>
        </w:tabs>
      </w:pPr>
      <w:r>
        <w:rPr>
          <w:sz w:val="19"/>
        </w:rPr>
        <w:t>Quality analysis and revision comparison</w:t>
      </w:r>
      <w:r>
        <w:rPr>
          <w:sz w:val="19"/>
        </w:rPr>
        <w:tab/>
        <w:t>13</w:t>
      </w:r>
    </w:p>
    <w:p>
      <w:pPr>
        <w:spacing w:after="0" w:line="240" w:lineRule="auto"/>
        <w:tabs>
          <w:tab w:val="right" w:leader="dot" w:pos="9360"/>
        </w:tabs>
      </w:pPr>
      <w:r>
        <w:rPr>
          <w:sz w:val="19"/>
        </w:rPr>
        <w:t>Keyboard inspector implementation and validation</w:t>
      </w:r>
      <w:r>
        <w:rPr>
          <w:sz w:val="19"/>
        </w:rPr>
        <w:tab/>
        <w:t>13</w:t>
      </w:r>
    </w:p>
    <w:p>
      <w:pPr>
        <w:spacing w:after="0" w:line="240" w:lineRule="auto"/>
        <w:tabs>
          <w:tab w:val="right" w:leader="dot" w:pos="9360"/>
        </w:tabs>
      </w:pPr>
      <w:r>
        <w:rPr>
          <w:sz w:val="19"/>
        </w:rPr>
        <w:t>Command inventory implementation and validation</w:t>
      </w:r>
      <w:r>
        <w:rPr>
          <w:sz w:val="19"/>
        </w:rPr>
        <w:tab/>
        <w:t>14</w:t>
      </w:r>
    </w:p>
    <w:p>
      <w:pPr>
        <w:spacing w:after="0" w:line="240" w:lineRule="auto"/>
        <w:tabs>
          <w:tab w:val="right" w:leader="dot" w:pos="9360"/>
        </w:tabs>
      </w:pPr>
      <w:r>
        <w:rPr>
          <w:sz w:val="19"/>
        </w:rPr>
        <w:t>Dynamic control relationships and validation</w:t>
      </w:r>
      <w:r>
        <w:rPr>
          <w:sz w:val="19"/>
        </w:rPr>
        <w:tab/>
        <w:t>14</w:t>
      </w:r>
    </w:p>
    <w:p>
      <w:pPr>
        <w:spacing w:after="0" w:line="240" w:lineRule="auto"/>
        <w:tabs>
          <w:tab w:val="right" w:leader="dot" w:pos="9360"/>
        </w:tabs>
      </w:pPr>
      <w:r>
        <w:rPr>
          <w:sz w:val="19"/>
        </w:rPr>
        <w:t>Layout rule explanations and validation</w:t>
      </w:r>
      <w:r>
        <w:rPr>
          <w:sz w:val="19"/>
        </w:rPr>
        <w:tab/>
        <w:t>14</w:t>
      </w:r>
    </w:p>
    <w:p>
      <w:pPr>
        <w:spacing w:after="0" w:line="240" w:lineRule="auto"/>
        <w:tabs>
          <w:tab w:val="right" w:leader="dot" w:pos="9360"/>
        </w:tabs>
      </w:pPr>
      <w:r>
        <w:rPr>
          <w:sz w:val="19"/>
        </w:rPr>
        <w:t>Component dependencies and attributed metadata</w:t>
      </w:r>
      <w:r>
        <w:rPr>
          <w:sz w:val="19"/>
        </w:rPr>
        <w:tab/>
        <w:t>15</w:t>
      </w:r>
    </w:p>
    <w:p>
      <w:pPr>
        <w:spacing w:after="0" w:line="240" w:lineRule="auto"/>
        <w:tabs>
          <w:tab w:val="right" w:leader="dot" w:pos="9360"/>
        </w:tabs>
      </w:pPr>
      <w:r>
        <w:rPr>
          <w:sz w:val="19"/>
        </w:rPr>
        <w:t>Resolve form inheritance and frame overlays</w:t>
      </w:r>
      <w:r>
        <w:rPr>
          <w:sz w:val="19"/>
        </w:rPr>
        <w:tab/>
        <w:t>16</w:t>
      </w:r>
    </w:p>
    <w:p>
      <w:pPr>
        <w:spacing w:after="0" w:line="240" w:lineRule="auto"/>
        <w:tabs>
          <w:tab w:val="right" w:leader="dot" w:pos="9360"/>
        </w:tabs>
      </w:pPr>
      <w:r>
        <w:rPr>
          <w:sz w:val="19"/>
        </w:rPr>
        <w:t>Store attributed action purpose mappings</w:t>
      </w:r>
      <w:r>
        <w:rPr>
          <w:sz w:val="19"/>
        </w:rPr>
        <w:tab/>
        <w:t>16</w:t>
      </w:r>
    </w:p>
    <w:p>
      <w:pPr>
        <w:spacing w:after="0" w:line="240" w:lineRule="auto"/>
        <w:tabs>
          <w:tab w:val="right" w:leader="dot" w:pos="9360"/>
        </w:tabs>
      </w:pPr>
      <w:r>
        <w:rPr>
          <w:sz w:val="19"/>
        </w:rPr>
        <w:t>Compare attributed screen evidence and captured layouts</w:t>
      </w:r>
      <w:r>
        <w:rPr>
          <w:sz w:val="19"/>
        </w:rPr>
        <w:tab/>
        <w:t>17</w:t>
      </w:r>
    </w:p>
    <w:p>
      <w:pPr>
        <w:spacing w:after="0" w:line="240" w:lineRule="auto"/>
        <w:tabs>
          <w:tab w:val="right" w:leader="dot" w:pos="9360"/>
        </w:tabs>
      </w:pPr>
      <w:r>
        <w:rPr>
          <w:sz w:val="19"/>
        </w:rPr>
        <w:t>Build a safe captured database connection inventory</w:t>
      </w:r>
      <w:r>
        <w:rPr>
          <w:sz w:val="19"/>
        </w:rPr>
        <w:tab/>
        <w:t>17</w:t>
      </w:r>
    </w:p>
    <w:p>
      <w:pPr>
        <w:spacing w:after="0" w:line="240" w:lineRule="auto"/>
        <w:tabs>
          <w:tab w:val="right" w:leader="dot" w:pos="9360"/>
        </w:tabs>
      </w:pPr>
      <w:r>
        <w:rPr>
          <w:sz w:val="19"/>
        </w:rPr>
        <w:t>Derive captured database engine and version evidence</w:t>
      </w:r>
      <w:r>
        <w:rPr>
          <w:sz w:val="19"/>
        </w:rPr>
        <w:tab/>
        <w:t>18</w:t>
      </w:r>
    </w:p>
    <w:p>
      <w:pPr>
        <w:spacing w:after="0" w:line="240" w:lineRule="auto"/>
        <w:tabs>
          <w:tab w:val="right" w:leader="dot" w:pos="9360"/>
        </w:tabs>
      </w:pPr>
      <w:r>
        <w:rPr>
          <w:sz w:val="19"/>
        </w:rPr>
        <w:t>Inspect captured database schema evidence</w:t>
      </w:r>
      <w:r>
        <w:rPr>
          <w:sz w:val="19"/>
        </w:rPr>
        <w:tab/>
        <w:t>19</w:t>
      </w:r>
    </w:p>
    <w:p>
      <w:pPr>
        <w:spacing w:after="0" w:line="240" w:lineRule="auto"/>
        <w:tabs>
          <w:tab w:val="right" w:leader="dot" w:pos="9360"/>
        </w:tabs>
      </w:pPr>
      <w:r>
        <w:rPr>
          <w:sz w:val="19"/>
        </w:rPr>
        <w:t>Extract captured column declarations and constraint text</w:t>
      </w:r>
      <w:r>
        <w:rPr>
          <w:sz w:val="19"/>
        </w:rPr>
        <w:tab/>
        <w:t>19</w:t>
      </w:r>
    </w:p>
    <w:p>
      <w:pPr>
        <w:spacing w:after="0" w:line="240" w:lineRule="auto"/>
        <w:tabs>
          <w:tab w:val="right" w:leader="dot" w:pos="9360"/>
        </w:tabs>
      </w:pPr>
      <w:r>
        <w:rPr>
          <w:sz w:val="19"/>
        </w:rPr>
        <w:t>Resolve captured key membership and references</w:t>
      </w:r>
      <w:r>
        <w:rPr>
          <w:sz w:val="19"/>
        </w:rPr>
        <w:tab/>
        <w:t>20</w:t>
      </w:r>
    </w:p>
    <w:p>
      <w:pPr>
        <w:spacing w:after="0" w:line="240" w:lineRule="auto"/>
        <w:tabs>
          <w:tab w:val="right" w:leader="dot" w:pos="9360"/>
        </w:tabs>
      </w:pPr>
      <w:r>
        <w:rPr>
          <w:sz w:val="19"/>
        </w:rPr>
        <w:t>Capture index structures and SQL reference evidence</w:t>
      </w:r>
      <w:r>
        <w:rPr>
          <w:sz w:val="19"/>
        </w:rPr>
        <w:tab/>
        <w:t>21</w:t>
      </w:r>
    </w:p>
    <w:p>
      <w:pPr>
        <w:spacing w:after="0" w:line="240" w:lineRule="auto"/>
        <w:tabs>
          <w:tab w:val="right" w:leader="dot" w:pos="9360"/>
        </w:tabs>
      </w:pPr>
      <w:r>
        <w:rPr>
          <w:sz w:val="19"/>
        </w:rPr>
        <w:t>Capture stored-object definitions and dependencies</w:t>
      </w:r>
      <w:r>
        <w:rPr>
          <w:sz w:val="19"/>
        </w:rPr>
        <w:tab/>
        <w:t>22</w:t>
      </w:r>
    </w:p>
    <w:p>
      <w:pPr>
        <w:spacing w:after="0" w:line="240" w:lineRule="auto"/>
        <w:tabs>
          <w:tab w:val="right" w:leader="dot" w:pos="9360"/>
        </w:tabs>
      </w:pPr>
      <w:r>
        <w:rPr>
          <w:sz w:val="19"/>
        </w:rPr>
        <w:t>Project captured entity relationship metadata</w:t>
      </w:r>
      <w:r>
        <w:rPr>
          <w:sz w:val="19"/>
        </w:rPr>
        <w:tab/>
        <w:t>23</w:t>
      </w:r>
    </w:p>
    <w:p>
      <w:pPr>
        <w:spacing w:after="0" w:line="240" w:lineRule="auto"/>
        <w:tabs>
          <w:tab w:val="right" w:leader="dot" w:pos="9360"/>
        </w:tabs>
      </w:pPr>
      <w:r>
        <w:rPr>
          <w:sz w:val="19"/>
        </w:rPr>
        <w:t>Maintain attributed schema dictionaries</w:t>
      </w:r>
      <w:r>
        <w:rPr>
          <w:sz w:val="19"/>
        </w:rPr>
        <w:tab/>
        <w:t>24</w:t>
      </w:r>
    </w:p>
    <w:p>
      <w:pPr>
        <w:spacing w:after="0" w:line="240" w:lineRule="auto"/>
        <w:tabs>
          <w:tab w:val="right" w:leader="dot" w:pos="9360"/>
        </w:tabs>
      </w:pPr>
      <w:r>
        <w:rPr>
          <w:sz w:val="19"/>
        </w:rPr>
        <w:t>Resolve captured dataset and field bindings</w:t>
      </w:r>
      <w:r>
        <w:rPr>
          <w:sz w:val="19"/>
        </w:rPr>
        <w:tab/>
        <w:t>25</w:t>
      </w:r>
    </w:p>
    <w:p>
      <w:pPr>
        <w:spacing w:after="0" w:line="240" w:lineRule="auto"/>
        <w:tabs>
          <w:tab w:val="right" w:leader="dot" w:pos="9360"/>
        </w:tabs>
      </w:pPr>
      <w:r>
        <w:rPr>
          <w:sz w:val="19"/>
        </w:rPr>
        <w:t>Recognize captured database operation requests</w:t>
      </w:r>
      <w:r>
        <w:rPr>
          <w:sz w:val="19"/>
        </w:rPr>
        <w:tab/>
        <w:t>26</w:t>
      </w:r>
    </w:p>
    <w:p>
      <w:pPr>
        <w:spacing w:after="0" w:line="240" w:lineRule="auto"/>
        <w:tabs>
          <w:tab w:val="right" w:leader="dot" w:pos="9360"/>
        </w:tabs>
      </w:pPr>
      <w:r>
        <w:rPr>
          <w:sz w:val="19"/>
        </w:rPr>
        <w:t>Trace captured transaction boundaries</w:t>
      </w:r>
      <w:r>
        <w:rPr>
          <w:sz w:val="19"/>
        </w:rPr>
        <w:tab/>
        <w:t>26</w:t>
      </w:r>
    </w:p>
    <w:p>
      <w:pPr>
        <w:spacing w:after="0" w:line="240" w:lineRule="auto"/>
        <w:tabs>
          <w:tab w:val="right" w:leader="dot" w:pos="9360"/>
        </w:tabs>
      </w:pPr>
      <w:r>
        <w:rPr>
          <w:sz w:val="19"/>
        </w:rPr>
        <w:t>Capture field validation and transformation evidence</w:t>
      </w:r>
      <w:r>
        <w:rPr>
          <w:sz w:val="19"/>
        </w:rPr>
        <w:tab/>
        <w:t>27</w:t>
      </w:r>
    </w:p>
    <w:p>
      <w:pPr>
        <w:spacing w:after="0" w:line="240" w:lineRule="auto"/>
        <w:tabs>
          <w:tab w:val="right" w:leader="dot" w:pos="9360"/>
        </w:tabs>
      </w:pPr>
      <w:r>
        <w:rPr>
          <w:sz w:val="19"/>
        </w:rPr>
        <w:t>Connect source evidence into scoped lineage</w:t>
      </w:r>
      <w:r>
        <w:rPr>
          <w:sz w:val="19"/>
        </w:rPr>
        <w:tab/>
        <w:t>27</w:t>
      </w:r>
    </w:p>
    <w:p>
      <w:pPr>
        <w:spacing w:after="0" w:line="240" w:lineRule="auto"/>
        <w:tabs>
          <w:tab w:val="right" w:leader="dot" w:pos="9360"/>
        </w:tabs>
      </w:pPr>
      <w:r>
        <w:rPr>
          <w:sz w:val="19"/>
        </w:rPr>
        <w:t>Source and revision evidence</w:t>
      </w:r>
      <w:r>
        <w:rPr>
          <w:sz w:val="19"/>
        </w:rPr>
        <w:tab/>
        <w:t>28</w:t>
      </w:r>
    </w:p>
    <w:p>
      <w:pPr>
        <w:spacing w:before="0" w:after="0" w:line="20" w:lineRule="exact"/>
      </w:pPr>
      <w:r>
        <w:rPr>
          <w:sz w:val="2"/>
        </w:rPr>
        <w:fldChar w:fldCharType="end"/>
      </w:r>
    </w:p>
    <w:p>
      <w:pPr>
        <w:pStyle w:val="Heading1"/>
        <w:pageBreakBefore/>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DPH-WP2-6,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DPH-WP3-15.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DPH-WP2-6 and DPH-WP3-15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DPH-WP3-15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Build a safe captured database connection inventory</w:t>
      </w:r>
    </w:p>
    <w:p>
      <w:r>
        <w:t>DPH.Workspace.DatabaseConnections projects captured text/binary DFM and FMX IR directly. A parent-property index joins database configuration and references to each candidate. An explicit class list covers common connection, dataset, data-source, transaction and session declarations; recognized property signals retain custom-class candidates without claiming vendor or runtime behavior. Existing component_field semantic relationships prevent duplicate Pascal field rows. Unmatched supported Pascal fields, variables and locals retain declaration evidence and unknown construction/configuration.</w:t>
      </w:r>
    </w:p>
    <w:p>
      <w:r>
        <w:t>Resolution uses source-local root and parent paths, explicitly qualified cross-form paths, expected target roles and captured logical aliases. There is no global short-name guess. Duplicate targets remain ambiguous. Named ConnectionDefName references share a definition row with explicit unavailable contents. Each row retains generation, source hash and range; exact outgoing and reverse IDs drive native Follow reference navigation. Missing inherited values, runtime assignments, factories and external definitions remain unknown. A 10000-row bound prevents an unbounded inventory.</w:t>
      </w:r>
    </w:p>
    <w:p>
      <w:r>
        <w:t>The projection never copies raw properties or source text into its configuration. Known parameter keys are retained with masked values; unknown keys use a generic label. Endpoints, credentials and entire connection strings remain masked. Only bounded identifiers for driver/protocol/dialect/charset/SSL, valid ports and explicit booleans are visible. Unsupported reference expressions are masked. Original captured source and caches are unchanged and may contain secrets; this feature is not a comprehensive secret-removal claim for the rest of DPH. No target driver, component class or database connection is created.</w:t>
      </w:r>
    </w:p>
    <w:p>
      <w:r>
        <w:t>DPH.UI.Main.fmx serializes every page control for the IDE and Object Inspector: purpose, horizontally scrolling toolbar, kind/text filters, paging, link selector, Follow reference, resizable list, labeled memo and status. LoadView rebuilds the projection for the accepted generation; ClearWorkspace discards borrowed rows before releasing their owner. Follow selects the exact target page after clearing filters. Compact validation requires a visible evidence area. Existing storage schema and analyzer contracts suffice.</w:t>
      </w:r>
    </w:p>
    <w:p>
      <w:r>
        <w:t>Run tools/build-database-connections.cmd elevated for 66 checks using real text/binary DFM, FMX and Pascal declarations, persisted/reopened captures, local/nested/cross-module links, aliases, duplicate and missing targets, sensitive canaries, validated settings, native paging/filtering/follow/empty states, capture replacement, compact layout and unchanged source/owner catalog. Fixtures reuse bin/database-connections-validation. Native PaintTo renders show DPH controls, not screenshots of an analyzed application. Regression evidence also covers 134 semantic/SQL and pinned-reference checks and 73 screen-history checks.</w:t>
      </w:r>
    </w:p>
    <w:p>
      <w:pPr>
        <w:pStyle w:val="Heading1"/>
      </w:pPr>
      <w:r>
        <w:t>Derive captured database engine and version evidence</w:t>
      </w:r>
    </w:p>
    <w:p>
      <w:r>
        <w:t>TDPHDatabaseConnections.EvaluateEngines extends the existing bounded inventory. It maps recognized captured DriverID values only for TFDConnection declarations using the FireDAC driver contract; it does not infer engines from class families, SQL tokens, DLL names, ports or DPH internal SQLite. The mapping basis is Embarcadero Databases FireDAC documentation at https://docwiki.embarcadero.com/RADStudio/Sydney/en/Databases_(FireDAC). Supported IDs identify families, without deriving server release or compatibility. MySQL-compatible retains compatible-server uncertainty; unknown virtual drivers are not silently mapped.</w:t>
      </w:r>
    </w:p>
    <w:p>
      <w:r>
        <w:t>Configuration permits bounded numeric ServerVersion, DatabaseVersion, ClientVersion and DriverVersion fields only. Server version aggregation preserves matching declarations, reports disagreement, and never promotes client or driver version evidence. Invalid values remain masked. Each engine fact carries its original source, line/range, source hash and captured generation. External definition contents, runtime overrides and live version measurements remain explicit unknowns. No driver or target database is opened.</w:t>
      </w:r>
    </w:p>
    <w:p>
      <w:r>
        <w:t>A dictionary indexes existing row IDs. Three bounded passes propagate evidence through unique captured connection and dataset targets to datasets, transactions and data sources. Multiple target identities become conflicting; unresolved candidate paths suppress propagation. Original fact ownership remains on the connection even when a dependent row displays it. The existing storage and analyzer contracts suffice; persisted capture reopening deterministically rebuilds the same projection.</w:t>
      </w:r>
    </w:p>
    <w:p>
      <w:r>
        <w:t>DPH.UI.Main.fmx retains IDE-editable controls and adds engine instructions and a concise evidence label. List rows summarize family and declared version. Details show engine results before qualifications, improving compact-window usability. The text filter searches evidence fields and safe configuration, excluding general boilerplate; navigation, pagination, capture replacement and credential masking continue to use the existing inventory.</w:t>
      </w:r>
    </w:p>
    <w:p>
      <w:r>
        <w:t>Run tools/build-database-engines.cmd elevated for 66 focused checks covering all fourteen driver IDs, unknown and virtual drivers, conflicting engine/version declarations, client/server separation, unresolved and conflicting paths, text/binary DFM and FMX, persisted reopening, source hashes, sensitive canaries, native filtering/details and compact renders. Existing database inventory and screen-history suites add 139 regression checks. Actual app and FMX baseline build pass. Fixtures reuse bin/database-engines-validation; native PaintTo renders show DPH controls and controlled declarations, not observed target-runtime connections.</w:t>
      </w:r>
    </w:p>
    <w:p>
      <w:pPr>
        <w:pStyle w:val="Heading1"/>
      </w:pPr>
      <w:r>
        <w:t>Inspect captured database schema evidence</w:t>
      </w:r>
    </w:p>
    <w:p>
      <w:r>
        <w:t>DPH.Workspace.DatabaseSchema projects captured SQL resource IR and existing semantic SQL-table references without storage migrations or target execution. A bounded lexer separates comments, quoted identifiers and string literals, preserves statement-start lines, and recognizes supported CREATE TABLE, VIEW and SCHEMA headers. Qualified names retain quoted spelling; two- and three-part names yield qualifier-reference rows. PostgreSQL CREATE TABLE, CREATE VIEW and CREATE SCHEMA documentation provides header references, not a cross-dialect grammar guarantee. Unsupported headers, ALTER and other statements remain explicit gaps.</w:t>
      </w:r>
    </w:p>
    <w:p>
      <w:r>
        <w:t>The lexer limits each resource to 2 MiB characters and 100000 tokens, nested comments to 16 levels and the inventory to 10000 rows. Malformed lexical resources yield a gap instead of partially promoted declarations. Definitions omit comment and string contents and bound display length. Parenthesis balance and recognized headers do not validate body grammar, type or constraint semantics. Whole-resource byte extents and precise statement-start lines are labeled separately. Existing inferred references retain captured semantic ranges and use original relationship labels for object names.</w:t>
      </w:r>
    </w:p>
    <w:p>
      <w:r>
        <w:t>Exact kind and spelling index duplicate declarations projectwide; every captured definition remains visible and migration order remains unresolved. The inspector neither normalizes dialect-dependent identifiers nor selects an effective production definition. References stay distinct from declarations; schema qualifiers stay distinct from explicit schema declarations. Missing resources and unsupported constructs cannot establish an empty live schema.</w:t>
      </w:r>
    </w:p>
    <w:p>
      <w:r>
        <w:t>DPH.UI.Main.fmx serializes the Database schema page, toolbar, filters, list, divider, labeled memo and source command for the IDE. Main owns the projection and borrows only visible rows, clearing them before capture replacement or destruction. Filtering and paging show 250 rows. Open source reuses TDPHKeyboardInspector.ReadSource for generation, containment, identity, decoding and SHA256 guards. No runtime controls or additional navigation helper are introduced.</w:t>
      </w:r>
    </w:p>
    <w:p>
      <w:r>
        <w:t>Run tools/build-database-schema.cmd elevated. Focused checks cover declarations, qualified and quoted names, comments/literals, duplicate definitions, unsupported and malformed resources, bounds, inferred references, SQLite persistence, source guards, unchanged workspace/catalog/source, native filters, pagination, capture replacement and normal/compact PaintTo renders. Run existing engine regression and tools/build-wp0.cmd for app and serialized FMX binding. Fixed ignored bin/database-schema-validation holds controlled practice data. No target SQL, database driver or application is executed.</w:t>
      </w:r>
    </w:p>
    <w:p>
      <w:pPr>
        <w:pStyle w:val="Heading1"/>
      </w:pPr>
      <w:r>
        <w:t>Extract captured column declarations and constraint text</w:t>
      </w:r>
    </w:p>
    <w:p>
      <w:r>
        <w:t>TDPHDatabaseSchema.Inspect extends the existing resource-token projection. It splits CREATE TABLE body entries only at outer commas, retaining type precision, CHECK and default-function commas. Supported entries emit column rows with declared_type, nullability, default, constraints, table and declaration_id. Explicit table-level constraint entries emit captured constraint text rows. These facts describe captured syntax, not a validated live schema. PostgreSQL CREATE TABLE documentation supplies the reference structure; this bounded reader is not a full dialect grammar.</w:t>
      </w:r>
    </w:p>
    <w:p>
      <w:r>
        <w:t>Type text accepts an identifier or qualified type, supported multiword suffixes, parenthesized parameters, time-zone qualifiers and array or unsigned suffixes. Clause extraction distinguishes DEFAULT NULL from explicit NULL, accepts bounded simple or parenthesized defaults, and captures supported named and inline constraints. String contents remain omitted. Token-aware formatting preserves quoted identifier spelling while presenting readable numeric and type evidence. Unsupported clauses, absent types, incomplete defaults, repeated defaults, conflicting NULL/NOT NULL and trailing empty entries remain gaps. A supported later entry does not inherit the preceding gap.</w:t>
      </w:r>
    </w:p>
    <w:p>
      <w:r>
        <w:t>Each column and table-level constraint keeps a unique parent declaration ID plus original file, source SHA256, generation and entry-start line. Duplicate table declarations retain independent column facts instead of selecting an effective migration. Whole-resource byte extents remain explicitly labeled. Key relationships, domain/inheritance rules, expression evaluation, dialect validity and deployed enforcement are unverified. No analyzer schema migration, target driver connection or runtime control construction is introduced.</w:t>
      </w:r>
    </w:p>
    <w:p>
      <w:r>
        <w:t>DPH.UI.Main.fmx adds column/constraint kinds and declared column/captured constraint states to existing Object Inspector editable selectors. Existing filter logic also searches declared type, explicit nullability and inline constraint text. Details lead with column type/nullability/default before long provenance explanations, improving compact-window use. Existing 250-row pages, capture replacement, labeled scrolling memo and guarded source navigation remain in use.</w:t>
      </w:r>
    </w:p>
    <w:p>
      <w:r>
        <w:t>Run tools/build-database-columns.cmd elevated for 121 checks using actual controlled project/resource analysis, SQLite persisted reopening, native FMX filtering/details/paging and normal/compact PaintTo renders. Checks cover type precision, multiword and qualified/quoted types, defaults, NULL separation, named/inline/table constraint text, nested commas, unsupported entries, duplicate declaration ownership, literal canaries and unchanged source/catalog/workspace. Existing schema and engine suites add 123 regression checks. Actual application build and FMX baseline pass. Fixed ignored bin/database-columns-validation contains controlled practice data. No SQL or target application is executed.</w:t>
      </w:r>
    </w:p>
    <w:p>
      <w:pPr>
        <w:pStyle w:val="Heading1"/>
      </w:pPr>
      <w:r>
        <w:t>Resolve captured key membership and references</w:t>
      </w:r>
    </w:p>
    <w:p>
      <w:r>
        <w:t>TDPHDatabaseSchema.Inspect emits key rows from supported captured CREATE TABLE entries. Each row preserves key_kind, constraint_name, ordered members, reference_table, ordered reference_columns, referential_actions, table, declaration_id and sanitized definition. Existing file, SHA256, generation and entry-start line provenance remain attached. Inline clauses are collected during column parsing and promoted only after the complete column entry passes its supported grammar, preventing an unsupported later clause from leaking a partial key.</w:t>
      </w:r>
    </w:p>
    <w:p>
      <w:r>
        <w:t>Table constraints accept an optional CONSTRAINT name and PRIMARY KEY, UNIQUE or FOREIGN KEY with nonempty identifier lists. Foreign keys accept a qualified referenced table, optional referenced column list and bounded ON DELETE or ON UPDATE actions. Repeated members, expressions, malformed lists, unknown actions and unsupported tails yield key gaps. CHECK remains captured constraint text. Inline reference actions outside the existing column subset remain column gaps. Token and row bounds remain unchanged. PostgreSQL constraint documentation supplies the reference syntax: https://www.postgresql.org/docs/18/ddl-constraints.html. This source reader does not implement that complete dialect.</w:t>
      </w:r>
    </w:p>
    <w:p>
      <w:r>
        <w:t>ResolveKeys builds exact table and declaration-owned column indexes with multiplicity counts. Each key receives ordered links containing role, reference, position, state and target_id only for unique captured matches. The owning table link uses the exact parent ID. Referenced columns resolve only after a unique referenced table is found. Missing or ambiguous evidence never chooses a first or last declaration. Omitted referenced columns and arity mismatches receive explicit notes; multiple primary keys and duplicate names receive conflict flags. Relationship status describes evidence completeness only, not semantic validity, target eligibility or enforcement.</w:t>
      </w:r>
    </w:p>
    <w:p>
      <w:r>
        <w:t>DPH.UI.Main.fmx serializes the key kind and declared key state plus a relationship selector and Follow relationship button in the horizontally scrolling schema toolbar. Main owns target ID strings separately from borrowed projection rows. Selection and capture replacement clear those strings. Follow resets filters, locates the exact target ID, computes its 250-row page and selects it. Existing source guards handle direct key navigation. No runtime controls, new storage migrations or SQL execution are introduced.</w:t>
      </w:r>
    </w:p>
    <w:p>
      <w:r>
        <w:t>Run tools/build-database-keys.cmd elevated for captured resource and SQLite reopening tests, composite order, named and anonymous inline keys, self references, missing or ambiguous members and tables, omitted target columns, arity differences, repeated columns, duplicate primary keys and names, unsupported syntax, literal omission, guarded source reading and native filters and relationship navigation. The suite also retains prior schema and column checks. Run column and schema regressions and tools/build-wp0.cmd for the actual executable and FMX baseline. Practice data stays in fixed ignored bin/database-keys-validation.</w:t>
      </w:r>
    </w:p>
    <w:p>
      <w:pPr>
        <w:pStyle w:val="Heading1"/>
      </w:pPr>
      <w:r>
        <w:t>Capture index structures and SQL reference evidence</w:t>
      </w:r>
    </w:p>
    <w:p>
      <w:r>
        <w:t>TDPHDatabaseSchema.Inspect recognizes bounded CREATE INDEX declarations from already captured SQL resources. Supported headers retain explicit index names, optional UNIQUE, CLUSTERED or NONCLUSTERED, CONCURRENTLY, IF NOT EXISTS, ON ONLY and a qualified target table. Optional USING retains the declared method. The reference structure is PostgreSQL CREATE INDEX: https://www.postgresql.org/docs/18/sql-createindex.html. Clustering keywords also retain captured structure from the supported cross-dialect subset; DPH does not validate combinations against a selected database dialect.</w:t>
      </w:r>
    </w:p>
    <w:p>
      <w:r>
        <w:t>Ordered members retain position, column when it is a plain identifier, sanitized expression text, explicit sort and null order. Parenthesized and simple function expressions remain unresolved dependencies. INCLUDE accepts distinct plain column identifiers. Optional unique null treatment, balanced WITH option text, TABLESPACE and balanced WHERE predicate text are retained without evaluation. Empty lists or expressions, malformed name/list structure, unsupported member options or clause tails, excessive nesting and unsupported predicate subqueries remain gaps. Existing lexical, resource-size, token and row bounds apply; index expression nesting is limited to 128.</w:t>
      </w:r>
    </w:p>
    <w:p>
      <w:r>
        <w:t>The existing relationship projection indexes exact table names and declaration-owned columns, using multiplicity counts. Index links target only unique captured table/column evidence. Duplicate table targets, columns and same-table index names remain explicit ambiguities or conflicts. Index records retain source SHA256, generation, statement line, resource byte extent, exact name and table scope. Effective migration order and live schema remain unknown. No schema migration, driver connection, SQL execution or runtime UI construction is introduced.</w:t>
      </w:r>
    </w:p>
    <w:p>
      <w:r>
        <w:t>A separate exact-name lookup groups existing supported SQL table-reference rows. Index records show total and displayed reference counts and link to those captured evidence rows, capped at 250 references per index and 10000 across the projection. These links are labeled index use unobserved. They do not imply column coverage, plan selection or measured benefit. Absent supported matches cannot establish an unused index; quoted names and case are not normalized across dialects.</w:t>
      </w:r>
    </w:p>
    <w:p>
      <w:r>
        <w:t>DPH.UI.Main.fmx adds index and declared index to the existing Object Inspector editable selectors. Main reuses the relationship selector, exact-ID Follow relationship navigation, 250-row paging, capture lifecycle and source guards. Search includes target table, method, predicate, storage kind and options. Details lead with index facts and explain evidence limitations before an investigation of performance can be justified.</w:t>
      </w:r>
    </w:p>
    <w:p>
      <w:r>
        <w:t>Run tools/build-database-indexes.cmd elevated for actual project/resource capture, ordered composite and expression members, uniqueness and optional structure, literal omission, missing or ambiguous target evidence, malformed/unsupported grammar, persisted SQLite reopening, unchanged source/catalog/workspace, guarded source reading and native filtering/follow/replacement/normal/compact renders. The suite retains prior schema, column and key checks. Run key and schema regressions and tools/build-wp0.cmd for the application and serialized FMX bindings. Controlled practice stays in fixed ignored bin/database-indexes-validation.</w:t>
      </w:r>
    </w:p>
    <w:p>
      <w:pPr>
        <w:pStyle w:val="Heading1"/>
      </w:pPr>
      <w:r>
        <w:t>Capture stored-object definitions and dependencies</w:t>
      </w:r>
    </w:p>
    <w:p>
      <w:r>
        <w:t>TDPHDatabaseSchema.Inspect projects supported stored-object declarations from existing captured SQL IR into procedure, function and trigger rows. CREATE, CREATE OR REPLACE and CREATE OR ALTER retain their header operation; PROC normalizes to procedure. Explicit qualified and quoted names are retained without dialect case folding. Named parenthesized parameters and supported TSQL @parameter lists retain order, modes, declared type, sanitized defaults and source lines. Scalar/qualified type structure, numeric precision, supported multiword types and array suffixes are captured; unsupported structures remain extraction gaps.</w:t>
      </w:r>
    </w:p>
    <w:p>
      <w:r>
        <w:t>Inline BEGIN/END blocks retain internal semicolons and nested BEGIN/CASE structure, with a 128 nesting limit. Their internal DDL is never promoted to a top-level table declaration. An unterminated block holds the remaining resource as a gap. Standalone GO client batch separators preserve following declarations. Single-quoted and dollar-quoted SQL or PLPGSQL bodies are lexed again for sanitized display and supported dependency evidence; comments and literal values remain omitted. Other quoted-body languages, unsupported tails, unnamed parameters, table-valued return structure and custom terminator directives remain gaps. Capturing a supported header/body extent does not validate body grammar.</w:t>
      </w:r>
    </w:p>
    <w:p>
      <w:r>
        <w:t>Trigger structure retains supported BEFORE/AFTER/INSTEAD OF timing, INSERT/UPDATE/DELETE/TRUNCATE event lists, ON table, optional FOR EACH ROW/STATEMENT and parenthesized WHEN text. Supported bodies are inline blocks or explicit zero-argument EXECUTE FUNCTION/PROCEDURE calls; the latter names a trigger function. Other trigger dialect arrangements or call arguments remain explicit extraction gaps. Body text and WHEN are unevaluated.</w:t>
      </w:r>
    </w:p>
    <w:p>
      <w:r>
        <w:t>Dependency extraction records supported FROM/JOIN/UPDATE and INSERT INTO literal table names, CALL/EXEC and EXECUTE PROCEDURE targets, plus event tables and explicit trigger functions. It is textual evidence with exact source lines, not a complete semantic SQL dependency graph. CTE/WITH scope, dynamic execution and complex table expressions retain unresolved evidence. No alias, expression-function call or column binding is invented. Projection-wide limits are 1000 dependency entries per stored object and 10000 total, alongside existing 2 MiB resource, 100000-token and 10000-row limits. Body display is limited to approximately 16000 characters and definition display to approximately 8000.</w:t>
      </w:r>
    </w:p>
    <w:p>
      <w:r>
        <w:t>ResolveStored builds multiplicity indexes for captured table/view names and kind-specific routine names. Unique exact name matches receive target IDs with binding explicitly unverified. Missing or ambiguous declarations and overloads receive states without targets. Duplicate definitions remain separate and effective migration order remains unknown. Stored rows carry resource SHA256, generation, statement line and resource byte extent; parameter/dependency lines refer to that same captured resource. The captured workspace, source files and owner catalog remain unchanged.</w:t>
      </w:r>
    </w:p>
    <w:p>
      <w:r>
        <w:t>The IDE-editable Database schema selectors add procedure/function/trigger and declared stored object. Existing exact-ID Follow relationship, paging, labeled scrolling details and source hash/generation guards are reused. Search includes parameter JSON text, language, returns, trigger facts and sanitized body. No runtime controls, driver connections, server SQL execution or new helper unit are introduced.</w:t>
      </w:r>
    </w:p>
    <w:p>
      <w:r>
        <w:t>Run tools/build-database-stored-objects.cmd elevated for actual project/resource capture, parameters/defaults/types, quoted bodies, triggers, nested blocks, explicit calls, missing/ambiguous targets, overloads, literal omission, limits, batch boundaries, persistence, unchanged source/catalog/workspace, source guards and native navigation/filter/replacement/normal/compact renders. Run index and schema regressions and tools/build-wp0.cmd for the actual application and FMX resource bindings. Controlled fixtures stay in fixed ignored bin/database-stored-objects-validation.</w:t>
      </w:r>
    </w:p>
    <w:p>
      <w:r>
        <w:t>Primary syntax references: PostgreSQL CREATE FUNCTION https://www.postgresql.org/docs/18/sql-createfunction.html, CREATE TRIGGER https://www.postgresql.org/docs/18/sql-createtrigger.html and Microsoft CREATE PROCEDURE https://learn.microsoft.com/en-us/sql/t-sql/statements/create-procedure-transact-sql. The parser implements a bounded captured-evidence subset; these references do not imply full dialect validation or deployed behavior.</w:t>
      </w:r>
    </w:p>
    <w:p>
      <w:pPr>
        <w:pStyle w:val="Heading1"/>
      </w:pPr>
      <w:r>
        <w:t>Project captured entity relationship metadata</w:t>
      </w:r>
    </w:p>
    <w:p>
      <w:r>
        <w:t>TDPHDatabaseSchema.Diagram projects independent JSON from the existing captured schema inventory. Only declared table headers become nodes. IDs, exact ownership, source SHA256, generation and source ranges survive projection. Owned columns retain order, declared types, nullability and resolved local key membership badges. Duplicate badge kinds are condensed. No source, owner catalog or persisted workspace is changed.</w:t>
      </w:r>
    </w:p>
    <w:p>
      <w:r>
        <w:t>Captured foreign keys become numbered edges with exact key, owner and referenced table IDs, ordered members and referenced columns, source provenance and relationship state. A solid blue line requires complete captured key links and both visible table endpoints. Unresolved captured links with available endpoints draw orange dashed lines. Missing targets receive no invented ID or ghost node. Relationships touching either visible endpoint remain in the evidence selector when the other endpoint is filtered or off page. Arrow direction runs from the referencing table to the referenced table; no crow-foot cardinality is inferred.</w:t>
      </w:r>
    </w:p>
    <w:p>
      <w:r>
        <w:t>Focus uses the selected declaration ID and a one-hop incoming/outgoing neighbor set. It does not expand transitively. Text filtering applies after focus and stable inventory order is retained across pagination. Bounds require a nonnegative offset, 1 to 60 tables and 1 to 32 summarized columns; native page choices are 15, 30 and 60. The projection retains at most 120 related foreign keys with total and omitted counts. Duplicate names, owned gaps, unresolved keys, absent columns and truncated summaries mark node notes and orange card borders. Global qualification remains PARTIAL CAPTURED SCHEMA even for supported individual declarations.</w:t>
      </w:r>
    </w:p>
    <w:p>
      <w:r>
        <w:t>DatabaseERTab and all command, scroll, memo and style controls are serialized in DPH.UI.Main.fmx for the IDE Object Inspector. The existing Main unit paints the data using a native canvas; it does not construct runtime controls or introduce a helper unit. Table size, header height, column row height, gutters, margins, fonts, colors and zoom controls are editable form properties. DatabaseERRect arranges stable table cards in a grid; orthogonal FK routes use outside-card gutters, arrowheads and selector numbers, including self links. The canvas resizes for content and magnification. Defaults summarize seven columns.</w:t>
      </w:r>
    </w:p>
    <w:p>
      <w:r>
        <w:t>Table hit testing and FK selection retain exact evidence IDs. Open evidence clears schema filters and navigates to the correct 250-row inventory page. Focus accepts a selected table or the declaration owner of a column/key/gap. Capture loading rebuilds the projection and resets stale focus/evidence IDs; empty results explain recovery. Drawing and details scroll independently, commands scroll horizontally, and a serialized splitter adjusts evidence space. Open source remains subject to the existing generation/hash guards on the schema page.</w:t>
      </w:r>
    </w:p>
    <w:p>
      <w:r>
        <w:t>Run tools/build-database-er.cmd elevated. The suite captures real project SQL resources and checks projection ownership, badge membership, provenance, stable order, limits, missing/duplicate/self targets, focus, filtering, paging, immutable source/catalog/workspace and SQLite reopening. Native tests exercise card selection, exact evidence navigation across pages, the serialized page selector, zoom, compact scrolling and capture replacement; screenshots include the full native canvas and actual window. Fixtures use the fixed ignored bin/database-er-validation folder. Run stored-object and key regressions and tools/build-wp0.cmd for the actual application/FMX resource baseline.</w:t>
      </w:r>
    </w:p>
    <w:p>
      <w:r>
        <w:t>The visualization proves supported captured structure, not a live schema, SQL semantic validation or business meaning. Dialect validity, effective migration order, referenced uniqueness, type compatibility, cardinality and deployed enforcement remain unverified. Views and inferred usage references remain schema evidence rather than invented entities. Source gaps and display limits stay visible. No target SQL, target application or database server is executed.</w:t>
      </w:r>
    </w:p>
    <w:p>
      <w:pPr>
        <w:pStyle w:val="Heading1"/>
      </w:pPr>
      <w:r>
        <w:t>Maintain attributed schema dictionaries</w:t>
      </w:r>
    </w:p>
    <w:p>
      <w:r>
        <w:t>TDPHDatabaseSchema provides NewDictionary, ValidateDictionary, DictionaryIdentity, DictionaryTitle, DictionaryBody and FindDictionary in the existing schema unit. A data_dictionary record contains fourteen bounded text fields. Its captured anchor retains the exact schema record ID, source SHA256, original capture generation, kind, name, owning table and statement line. Authored fields hold business definition, owner or steward, sensitivity/handling, evidence/unknowns and optional units/usage. Validation requires explicit content for the first four authored fields; Unknown is a legitimate attributed answer, not an inferred fact.</w:t>
      </w:r>
    </w:p>
    <w:p>
      <w:r>
        <w:t>DPH.UI.DatabaseDictionary.pas and its FMX resource define a native structured editor. All labels, memo rows, dimensions, read-only states and Apply/Cancel controls are serialized and editable in the Object Inspector. Business fields appear first, captured identity below. DPH.UI.Main reuses the existing Knowledge draft/save flow, contributor, immutable revision history, optimistic revision checks, pending review and rejection/retirement commands. No new helper unit, runtime controls or database migration is introduced.</w:t>
      </w:r>
    </w:p>
    <w:p>
      <w:r>
        <w:t>SaveKnowledge validates new anchors against the selected persisted workspace using the captured schema inventory. Forged object names or source lines are rejected. Scope, title, deterministic rendered body and target identity cannot be altered on an existing record. One dictionary per captured anchor is enforced, including retired records. Changes create a fresh needs_review revision. Contributor, editor and reviewer remain independent. Applying the native editor only prepares a draft and requires an explicit Save.</w:t>
      </w:r>
    </w:p>
    <w:p>
      <w:r>
        <w:t>Database schema details show business meaning before captured technical facts. Its filter searches current authored dictionary bodies. Exact captured bytes are required for current lookup; old hash matches are reported as historical rather than moved onto a new source version. Unmatched historical records remain accessible in Knowledge. DPH.Publish.Model filters dictionary sections by included source files and matching SHA256, preserving existing publication redaction and attributed review state. Publisher version DPH-LEARNING-9 invalidates prior publication fingerprints.</w:t>
      </w:r>
    </w:p>
    <w:p>
      <w:r>
        <w:t>Run tools/build-database-dictionary.cmd elevated. Its fixed ignored bin/database-dictionary-validation fixture captures real SQL resources, persists the workspace, checks required fields/types/bounds, forged/duplicate anchors, immutable identities, conflicting body rejection, contributor/review/revision history, stale review, table/column separation, historical lookup, export exclusions/hash mismatch, native serialized controls, modal Apply-to-draft flow, search, history navigation, compact renders and SQLite reopening. No selected application or SQL executes. Run ER, publishing and glossary regressions plus tools/build-wp0.cmd for the actual application and FMX baseline.</w:t>
      </w:r>
    </w:p>
    <w:p>
      <w:r>
        <w:t>The editor implements an attributed dictionary workflow, not automatic knowledge of business meaning. Sensitivity is descriptive text, not an authorization mechanism. The captured schema remains partial and does not establish live deployment, SQL validity, migration order or business correctness. Human review and the source evidence must qualify every business assertion.</w:t>
      </w:r>
    </w:p>
    <w:p>
      <w:pPr>
        <w:pStyle w:val="Heading1"/>
      </w:pPr>
      <w:r>
        <w:t>Resolve captured dataset and field bindings</w:t>
      </w:r>
    </w:p>
    <w:p>
      <w:r>
        <w:t>TDPHDatabaseConnections.Inspect extends the existing captured form inventory with known persistent TField classes, data-aware control property signals, TBindSourceDB and visual controls explicitly referenced by serialized binding Control properties. Only required reference/configuration metadata enters the projection; captions, credentials and connection values retain existing redaction. The source and persisted workspace remain unchanged.</w:t>
      </w:r>
    </w:p>
    <w:p>
      <w:r>
        <w:t>Persistent field DataSet ownership is derived from its exact serialized parent path and resolved only to a unique dataset. Explicit LookupDataSet references remain distinct from ownership. ResolveFields indexes captured IDs and dataset-scoped case-insensitive FieldName values, then joins resolved control DataSource or BindSource, intermediary DataSet and persistent field identity. Multiple fields, incomplete or competing chains receive no target ID. Fields absent from captured declarations are not invented. Every property link retains its original property line and byte range; binary form evidence has byte positions rather than invented text lines.</w:t>
      </w:r>
    </w:p>
    <w:p>
      <w:r>
        <w:t>The existing Follow reference workflow navigates outgoing and reverse references, resets filters and finds exact IDs across 250-row pages. Serialized kind choices add bound control, persistent field and binding control target. Binding explanations and field metadata appear before lengthy engine qualifications. No runtime controls, helper unit, target component loading or storage migration was introduced. Existing engine derivation remains unchanged.</w:t>
      </w:r>
    </w:p>
    <w:p>
      <w:r>
        <w:t>The installed RAD Studio Data.Bind.Components source and official TLinkControlToField documentation establish the published DataSource, FieldName and Control contract. Data.Bind.DBScope supplies TBindSourceDB. Support describes serialized lexical candidates; it does not evaluate LiveBindings expressions or instantiate the target. General expression/factory/runtime/inherited behavior remains qualified rather than promoted to confirmed static binding.</w:t>
      </w:r>
    </w:p>
    <w:p>
      <w:r>
        <w:t>Run tools/build-dataset-bindings.cmd elevated for 92 checks. Real text/binary DFM and FMX fixtures cover VCL and FMX field chains, parent ownership, reverse links, duplicate fields, missing/nil sources, lookup datasets, exact property evidence, native kind/text filters, follow navigation, compact layout, SQLite reopening and unchanged source/catalog. Connection and engine regressions each pass 66 checks. tools/build-wp0.cmd builds the actual application and verifies FMX resource bindings. Fixtures use fixed ignored bin/dataset-bindings-validation.</w:t>
      </w:r>
    </w:p>
    <w:p>
      <w:pPr>
        <w:pStyle w:val="Heading1"/>
      </w:pPr>
      <w:r>
        <w:t>Recognize captured database operation requests</w:t>
      </w:r>
    </w:p>
    <w:p>
      <w:r>
        <w:t>TDPHSemanticAnalyzer.RoutineFacts emits database_operation relations for recognized methods on declared framework datasets or captured descendants. Receiver resolution and imported framework identity are checked; a local class shadowing TFDQuery and ordinary Delete methods are excluded. Captured inheritance is bounded to 32 steps. Within-with calls, factories, aliases, indexed receivers, unsupported providers and runtime dispatch remain unproved. DPHSemanticVersion DPH-WP3-15 invalidates older semantic caches.</w:t>
      </w:r>
    </w:p>
    <w:p>
      <w:r>
        <w:t>TDPHDatabaseConnections.AppendOperations projects API calls, static_sql and dynamic_sql relations into existing database inventory rows. It preserves generation, condition, source SHA256 and line/byte range. Semantic component_field relationships connect operation receivers to serialized components by exact source location; ambiguous locations never choose an arbitrary target. Recognized custom dataset declarations receive their own navigable receiver row. SQL literal values are omitted. Single lexical CRUD families can be retained for complex SQL without inventing table or column bindings; dynamic or mixed batches remain unknown.</w:t>
      </w:r>
    </w:p>
    <w:p>
      <w:r>
        <w:t>Effects distinguish record-buffer preparation, posting, cached-update application, deletion requests, SQL configuration and execution requests. Engine evidence follows captured receiver references. The database operation kind filter and Source button are serialized in DPH.UI.Main.fmx. Existing pagination, reverse references and source hash guards are reused. No helper unit, runtime control, storage migration, target execution or driver loading is introduced.</w:t>
      </w:r>
    </w:p>
    <w:p>
      <w:r>
        <w:t>Run tools/build-database-operations.cmd elevated for 232 checks using the actual analyzer, persisted/reopened SQLite workspace and native FMX form. Fixtures cover CRUD requests, local/custom datasets, framework-name shadowing, SQL joins and mixed/dynamic SQL, operation effects, exact receiver/source identity, redaction, reverse navigation, detached-source refusal, compact layout and unchanged source/catalog. Binding regression passes 92, engine regression 66 and semantic regression 134 checks. tools/build-wp0.cmd builds the real application and verifies its FMX resource. Fixtures stay in fixed ignored bin/database-operations-validation.</w:t>
      </w:r>
    </w:p>
    <w:p>
      <w:pPr>
        <w:pStyle w:val="Heading1"/>
      </w:pPr>
      <w:r>
        <w:t>Trace captured transaction boundaries</w:t>
      </w:r>
    </w:p>
    <w:p>
      <w:r>
        <w:t>DPHSemanticVersion DPH-WP3-15 invalidates older captures. RoutineFacts emits database_transaction relations for recognized FireDAC, ADO, dbExpress, BDE and IBX transaction APIs on declared imported framework types or captured descendants. IsDatabaseType shares the existing bounded ancestry and framework-name shadow checks with dataset operation recognition. The API list is provider-specific; ordinary methods and local classes sharing framework names are excluded. Parameter values and savepoint names do not enter the inventory. No target class, SQL or server is loaded or executed.</w:t>
      </w:r>
    </w:p>
    <w:p>
      <w:r>
        <w:t>AttachTransactionPaths projects existing captured flow_nodes and flow_edges without evaluating expressions. Each boundary maps to the smallest containing statement range in the same routine and source. Separate finalizer copies retain their different pending transfers. Bounded traversal stops at the next boundary on the same declared semantic receiver or a normal/exception exit. Exception and conditional/loop flags stay separate. Multiple transaction calls in one expression receive no invented ordering. Receiver aliases and interprocedural transactions remain unproved.</w:t>
      </w:r>
    </w:p>
    <w:p>
      <w:r>
        <w:t>Indexes group nodes by routine, outgoing edges by node and transaction boundaries by their statement. Limits are 10000 candidate CFG nodes per routine, 5000 states and 64 routes per boundary, and 1000000 states per inventory. Missing or bounded flow remains explicit. Routes expose node IDs and traversed edge-kind sets for comparison with the underlying CFG; they are not execution traces or path-feasibility proofs. Existing reference navigation links receivers, next boundaries and their reverse references. Controls remain serialized and IDE editable in DPH.UI.Main.fmx.</w:t>
      </w:r>
    </w:p>
    <w:p>
      <w:r>
        <w:t>Calls immediately after try, except and finally now retain their no-parentheses statement-call recognition. Run tools/build-database-transactions.cmd elevated for 402 checks using actual analysis, persisted/reopened SQLite and native FMX controls. Fixtures cover normal/error commit and rollback paths, finalizers, conditional alternatives, missing boundaries, distinct receivers, retaining/savepoint variants, five framework families, captured descendants, local name shadows, unordered expressions, absent CFG, redaction, native navigation, compact layout and unchanged source/catalog. Regression suites cover 232 operation, 92 binding, 66 engine and 134 semantic checks. tools/build-wp0.cmd builds the actual application and checks the FMX resource. Tests reuse fixed ignored bin/database-transactions-validation.</w:t>
      </w:r>
    </w:p>
    <w:p>
      <w:pPr>
        <w:pStyle w:val="Heading1"/>
      </w:pPr>
      <w:r>
        <w:t>Capture field validation and transformation evidence</w:t>
      </w:r>
    </w:p>
    <w:p>
      <w:r>
        <w:t>DPH-WP2-6 recognizes serialized BeforePost, BeforeInsert, BeforeEdit, BeforeDelete, BeforeCancel and BeforeOpen as event bindings in both text and binary forms. Existing own-form method resolution supplies handler relations; DPH-WP3-15 invalidates older semantic captures. Existing On-prefixed events retain their previous behavior. Missing or ambiguous method targets remain unresolved.</w:t>
      </w:r>
    </w:p>
    <w:p>
      <w:r>
        <w:t>AppendDataRules in DPH.Workspace.DatabaseConnections indexes captured symbols, event bindings and routine CFG nodes. It projects persistent-field constraints, recognized field/dataset/input hooks and bounded handler statements. A transformation requires two direct expressions in the matching Pascal statement IR, rather than a semicolon heuristic. Conditions, raises and early exits remain distinct. Repeated finally copies are deduplicated by source location and context. Statement input/output links use captured lexical reads/writes within expression ranges, not reaching-definition or runtime-value claims. Literal strings, comments and character codes are omitted; supported custom/default expressions retain their structure without evaluation.</w:t>
      </w:r>
    </w:p>
    <w:p>
      <w:r>
        <w:t>The combined inventory is bounded to 10000 rows; truncation is explicit in the model and native status. Source, SHA256, generation, context, handler, input/output and reverse references retain exact captured identity. Native data rule and rule declaration filters are serialized in the FMX resource. No new UI controls, helper unit, migration, target instance, driver or server execution is introduced. tools/build-data-rules.cmd checks real parser output, persisted/reopened captures, constraints, predicates, transformation inputs/outputs, missing handlers/syntax, semicolons in call literals, redaction, inventory limits, native navigation and normal/compact layouts. Explicit directions are in docs/guides/Data_Rules_Run_and_Test.txt.</w:t>
      </w:r>
    </w:p>
    <w:p>
      <w:pPr>
        <w:pStyle w:val="Heading1"/>
      </w:pPr>
      <w:r>
        <w:t>Connect source evidence into scoped lineage</w:t>
      </w:r>
    </w:p>
    <w:p>
      <w:r>
        <w:t>TDPHDatabaseConnections.Lineage projects the captured workspace and database inventory without modifying either. Exact component_field source locations map semantic receivers to serialized inventory identity only when unique. Existing rule declarations retain their identity. Directed derives_from relations connect input candidates to dependent declarations and file output artifacts. Lexical rule inputs and outputs connect through the captured rule. Serialized bindings, handler context, reads/writes, rendering requests and database operation routines remain labeled context rather than reaching-definition evidence.</w:t>
      </w:r>
    </w:p>
    <w:p>
      <w:r>
        <w:t>The projection indexes at most 50000 symbols and 100000 deduplicated edges, then performs bounded adjacency traversal. Each returned node retains its parent hop, kind, source, SHA256 and capture generation. Edges retain original range, source hash, condition, category and qualification. Both direction traversal includes context; Inputs and Destinations exclude broad procedure context and respect dependency direction. Cycles are deduplicated. Returned limits are 200 nodes, 800 edges and 12 hops. Missing targets, missing dataset declarations, unresolved handlers, scoped connection boundaries and limits remain explicit. Runtime values, aliases, server effects and final success remain unverified.</w:t>
      </w:r>
    </w:p>
    <w:p>
      <w:r>
        <w:t>ResolveFields now treats any captured data-source chain without a dataset target as incomplete, including the case where another source chain resolves. It no longer invents a persistent-field target from the remaining valid branch. Existing exact-role and ambiguity checks remain in force. No analyzer version or schema migration is needed because lineage projects existing captures; older captures without a recognized event or relation still require Full reassessment.</w:t>
      </w:r>
    </w:p>
    <w:p>
      <w:r>
        <w:t>The direction selector, Trace lineage and Lineage diagram buttons and Data lineage graph choice are serialized in DPH.UI.Main.fmx. Main form navigation reuses the inventory and explanation pages; graph grouping is disabled for lineage. GraphHTML renders the same evidence JSON with selectable nodes and unresolved breaks. Existing browser allowlisting and source hash guards remain in force. Tests use actual parsing, persisted and reopened SQLite captures, directional assignment chains, cyclic assignments, controlled file-writer evidence, redaction, incomplete bindings, trace limits and native FMX navigation/layout. No selected target, SQL, driver or production server is executed. Build with tools/build-data-lineage.cmd.</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43244ca3544edffabbf8a52af92a5f8081794894db0fd88fdd67fd1dbab560fb</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93d7e969508ff4862a98f7e4d7b6cb690cf741792d5a0e4dbac9f012bc8c5035</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3cf7d49afd859e2d2749cb30e5fdd76120eaf05ef5223e8fb8bf6eb1a7fcd66c</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bdecd758070044593a6a19bfd53b35f9a23286e2542194313222cdfee51d6557</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88dd64242abb30706a448fe064978c22d641b9541ce67a2e55e40bacc045b005</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42619d012e2ccaebf90496b7bd09ae76338da444dd5ee23e96b90fb09b19ca00</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37fecd28b258661a57eb1ff955a2bf1f22757508b3925b98daedc0d6b789e1ce</w:t>
      </w:r>
    </w:p>
    <w:p>
      <w:pPr>
        <w:keepNext/>
        <w:spacing w:after="0"/>
      </w:pPr>
      <w:r>
        <w:rPr>
          <w:sz w:val="18"/>
        </w:rPr>
        <w:t>DPH.Workspace.DatabaseSchema.pas</w:t>
      </w:r>
    </w:p>
    <w:p>
      <w:pPr>
        <w:spacing w:after="20"/>
      </w:pPr>
      <w:r>
        <w:rPr>
          <w:rFonts w:ascii="Consolas" w:hAnsi="Consolas"/>
          <w:sz w:val="16"/>
        </w:rPr>
        <w:t>1ce7aecbca802acd814daf550d778378f4543ec7734fc4ff1ada7607fd458f04</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92d2b4b10d9bba5cb86fdc67fcc98c0ad269bb3cc94198fb32d235cf7d0c3417</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