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0.8.0.20  |  Guide edition 61</w:t>
      </w:r>
    </w:p>
    <w:p>
      <w:r>
        <w:t>Last changed 23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11</w:t>
      </w:r>
    </w:p>
    <w:p>
      <w:pPr>
        <w:pStyle w:val="TOC2"/>
        <w:tabs>
          <w:tab w:val="right" w:leader="dot" w:pos="9360"/>
        </w:tabs>
      </w:pPr>
      <w:r>
        <w:t>7. Source bytes, ranges, and safe acquisition</w:t>
      </w:r>
      <w:r>
        <w:tab/>
        <w:t>11</w:t>
      </w:r>
    </w:p>
    <w:p>
      <w:pPr>
        <w:pStyle w:val="TOC2"/>
        <w:tabs>
          <w:tab w:val="right" w:leader="dot" w:pos="9360"/>
        </w:tabs>
      </w:pPr>
      <w:r>
        <w:t>8. Project inventory and reading configuration</w:t>
      </w:r>
      <w:r>
        <w:tab/>
        <w:t>12</w:t>
      </w:r>
    </w:p>
    <w:p>
      <w:pPr>
        <w:pStyle w:val="TOC2"/>
        <w:tabs>
          <w:tab w:val="right" w:leader="dot" w:pos="9360"/>
        </w:tabs>
      </w:pPr>
      <w:r>
        <w:t>9. Lexer, preprocessing, and intermediate representation</w:t>
      </w:r>
      <w:r>
        <w:tab/>
        <w:t>13</w:t>
      </w:r>
    </w:p>
    <w:p>
      <w:pPr>
        <w:pStyle w:val="TOC2"/>
        <w:tabs>
          <w:tab w:val="right" w:leader="dot" w:pos="9360"/>
        </w:tabs>
      </w:pPr>
      <w:r>
        <w:t>10. Pascal, forms, and resource parsing</w:t>
      </w:r>
      <w:r>
        <w:tab/>
        <w:t>14</w:t>
      </w:r>
    </w:p>
    <w:p>
      <w:pPr>
        <w:pStyle w:val="TOC2"/>
        <w:tabs>
          <w:tab w:val="right" w:leader="dot" w:pos="9360"/>
        </w:tabs>
      </w:pPr>
      <w:r>
        <w:t>11. Symbols, resolution, control flow, and focused analyses</w:t>
      </w:r>
      <w:r>
        <w:tab/>
        <w:t>15</w:t>
      </w:r>
    </w:p>
    <w:p>
      <w:pPr>
        <w:pStyle w:val="TOC1"/>
        <w:tabs>
          <w:tab w:val="right" w:leader="dot" w:pos="9360"/>
        </w:tabs>
      </w:pPr>
      <w:r>
        <w:t>PART 3: Persistence, authored knowledge, and native presentation</w:t>
      </w:r>
      <w:r>
        <w:tab/>
        <w:t>16</w:t>
      </w:r>
    </w:p>
    <w:p>
      <w:pPr>
        <w:pStyle w:val="TOC2"/>
        <w:tabs>
          <w:tab w:val="right" w:leader="dot" w:pos="9360"/>
        </w:tabs>
      </w:pPr>
      <w:r>
        <w:t>12. SQLite store ownership, migrations, and transactions</w:t>
      </w:r>
      <w:r>
        <w:tab/>
        <w:t>16</w:t>
      </w:r>
    </w:p>
    <w:p>
      <w:pPr>
        <w:pStyle w:val="TOC2"/>
        <w:tabs>
          <w:tab w:val="right" w:leader="dot" w:pos="9360"/>
        </w:tabs>
      </w:pPr>
      <w:r>
        <w:t>13. Generations, source identity, and cached views</w:t>
      </w:r>
      <w:r>
        <w:tab/>
        <w:t>17</w:t>
      </w:r>
    </w:p>
    <w:p>
      <w:pPr>
        <w:pStyle w:val="TOC2"/>
        <w:tabs>
          <w:tab w:val="right" w:leader="dot" w:pos="9360"/>
        </w:tabs>
      </w:pPr>
      <w:r>
        <w:t>14. Authored revisions, links, and review state</w:t>
      </w:r>
      <w:r>
        <w:tab/>
        <w:t>18</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24</w:t>
      </w:r>
    </w:p>
    <w:p>
      <w:pPr>
        <w:pStyle w:val="TOC2"/>
        <w:tabs>
          <w:tab w:val="right" w:leader="dot" w:pos="9360"/>
        </w:tabs>
      </w:pPr>
      <w:r>
        <w:t>18. Publication model and export contract</w:t>
      </w:r>
      <w:r>
        <w:tab/>
        <w:t>24</w:t>
      </w:r>
    </w:p>
    <w:p>
      <w:pPr>
        <w:pStyle w:val="TOC2"/>
        <w:tabs>
          <w:tab w:val="right" w:leader="dot" w:pos="9360"/>
        </w:tabs>
      </w:pPr>
      <w:r>
        <w:t>19. Search, browser navigation, and supporting integrations</w:t>
      </w:r>
      <w:r>
        <w:tab/>
        <w:t>25</w:t>
      </w:r>
    </w:p>
    <w:p>
      <w:pPr>
        <w:pStyle w:val="TOC1"/>
        <w:tabs>
          <w:tab w:val="right" w:leader="dot" w:pos="9360"/>
        </w:tabs>
      </w:pPr>
      <w:r>
        <w:t>PART 5: Building, testing, diagnosis, and release</w:t>
      </w:r>
      <w:r>
        <w:tab/>
        <w:t>26</w:t>
      </w:r>
    </w:p>
    <w:p>
      <w:pPr>
        <w:pStyle w:val="TOC2"/>
        <w:tabs>
          <w:tab w:val="right" w:leader="dot" w:pos="9360"/>
        </w:tabs>
      </w:pPr>
      <w:r>
        <w:t>20. Build environment and source layout</w:t>
      </w:r>
      <w:r>
        <w:tab/>
        <w:t>26</w:t>
      </w:r>
    </w:p>
    <w:p>
      <w:pPr>
        <w:pStyle w:val="TOC2"/>
        <w:tabs>
          <w:tab w:val="right" w:leader="dot" w:pos="9360"/>
        </w:tabs>
      </w:pPr>
      <w:r>
        <w:t>21. Meaningful test selection and execution</w:t>
      </w:r>
      <w:r>
        <w:tab/>
        <w:t>28</w:t>
      </w:r>
    </w:p>
    <w:p>
      <w:pPr>
        <w:pStyle w:val="TOC2"/>
        <w:tabs>
          <w:tab w:val="right" w:leader="dot" w:pos="9360"/>
        </w:tabs>
      </w:pPr>
      <w:r>
        <w:t>22. Package, deploy, and verify extracted copies</w:t>
      </w:r>
      <w:r>
        <w:tab/>
        <w:t>29</w:t>
      </w:r>
    </w:p>
    <w:p>
      <w:pPr>
        <w:pStyle w:val="TOC2"/>
        <w:tabs>
          <w:tab w:val="right" w:leader="dot" w:pos="9360"/>
        </w:tabs>
      </w:pPr>
      <w:r>
        <w:t>23. Diagnose failures at their owning layer</w:t>
      </w:r>
      <w:r>
        <w:tab/>
        <w:t>31</w:t>
      </w:r>
    </w:p>
    <w:p>
      <w:pPr>
        <w:pStyle w:val="TOC2"/>
        <w:tabs>
          <w:tab w:val="right" w:leader="dot" w:pos="9360"/>
        </w:tabs>
      </w:pPr>
      <w:r>
        <w:t>24. Maintain documentation as an engineering artifact</w:t>
      </w:r>
      <w:r>
        <w:tab/>
        <w:t>32</w:t>
      </w:r>
    </w:p>
    <w:p>
      <w:pPr>
        <w:pStyle w:val="TOC1"/>
        <w:tabs>
          <w:tab w:val="right" w:leader="dot" w:pos="9360"/>
        </w:tabs>
      </w:pPr>
      <w:r>
        <w:t>PART 6: Technical reference</w:t>
      </w:r>
      <w:r>
        <w:tab/>
        <w:t>33</w:t>
      </w:r>
    </w:p>
    <w:p>
      <w:pPr>
        <w:pStyle w:val="TOC2"/>
        <w:tabs>
          <w:tab w:val="right" w:leader="dot" w:pos="9360"/>
        </w:tabs>
      </w:pPr>
      <w:r>
        <w:t>25. Source units and public contracts</w:t>
      </w:r>
      <w:r>
        <w:tab/>
        <w:t>33</w:t>
      </w:r>
    </w:p>
    <w:p>
      <w:pPr>
        <w:pStyle w:val="TOC2"/>
        <w:tabs>
          <w:tab w:val="right" w:leader="dot" w:pos="9360"/>
        </w:tabs>
      </w:pPr>
      <w:r>
        <w:t>26. Persisted schema and migration reference</w:t>
      </w:r>
      <w:r>
        <w:tab/>
        <w:t>52</w:t>
      </w:r>
    </w:p>
    <w:p>
      <w:pPr>
        <w:pStyle w:val="TOC2"/>
        <w:tabs>
          <w:tab w:val="right" w:leader="dot" w:pos="9360"/>
        </w:tabs>
      </w:pPr>
      <w:r>
        <w:t>27. Engineering change and release checklists</w:t>
      </w:r>
      <w:r>
        <w:tab/>
        <w:t>60</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Save project lets the user create a permanent .dphdb at any time; its dialog defaults to the application's databases folder and suggests a dated filename when the original name is already used. The save flow verifies the new database and managed-view manifest before discarding the temporary capture, then displays the complete destination path. A failed save leaves the temporary capture available; an existing saved file is not overwritten. Closing or changing projects still offers Save, Discard, and Cancel while the capture remains temporary.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DPHProgressForm is a separate centered FMX window with a message, a time expectation, a progress bar, and a numeric percentage while the worker runs. The main form retains the preparation state controls and synchronizes them to the window on each worker response.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r>
        <w:t>The IDE-editable Rescan project button sends an incremental worker request for the attached entry and current selection. The worker compares the manifest, analyzer versions and selection hash, reuses unchanged findings, and rebuilds changed analysis. The centered progress form remains visible during the request. Rescan is disabled for detached captures and while work is in progress.</w:t>
      </w:r>
    </w:p>
    <w:p>
      <w:r>
        <w:t>The publication model copies the selected .dproj path properties DCC_UnitSearchPath, DCC_IncludePath, DCC_ResourcePath, DCC_Namespace, DCC_UnitOutputDir and DCC_ExeOutput into project_build_paths with source lines. The dossier derives a relative directory map from captured files. These are source declarations, not proof that Delphi IDE global Library or Browsing paths, vendor packages or client libraries are installed on another machine. A maintainer must confirm those external prerequisites.</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r>
        <w:t>ChangeGuideHTML builds the English-language beta Change Guide from the selected object key in the existing explanation model. It starts with the captured declaration and attributions, lists up to 12 incoming relationships, traverses direct and one further downstream relationship level up to 24 distinct linked objects, and names the distinct source files reached. It includes linked contributor knowledge only for the selected exact entity key or canonical link and shows review state. Suggested checks follow captured UI, data, output, asynchronous, or conditional relationships; no check is marked complete. Source names, evidence and contributor text are HTML-escaped. Missing selections and missing relationships are described without inventing a route. Preserve bounded traversal, qualification and ownership when extending this projection.</w:t>
      </w:r>
    </w:p>
    <w:p>
      <w:r>
        <w:t>The serialized Project map toolbar owns the Change Guide, Return to map, View source code and Change impact controls. Source and diagram views have serialized Return to guide buttons. FChangeGuideMode changes the explanation renderer while FSelected keeps the selected source object; changing projects clears the mode. DATTranslateHtmlText applies the installed language pack to matching authored nodes, and all six new native button instances have catalog entries in the 35 runtime packs. The generated guide narrative itself remains an English-language beta; do not describe it as fully localized. Project-supplied content and citations remain local and original. The guide is an investigation aid, not a change plan or runtime trace.</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The overview also links to Component dependencies, where serialized controls, captured class candidates and package references are qualified without guessing vendor or version. Data and operations links to Database connections and schema, shows starter FireDAC connection templates for InterBase, SQL Server and SQLite without real credentials, and lists captured unit-level variables. A declaration is not a measured runtime value or a successful connection. DAT's HTML translator now requires an exact translation for each prose node; it leaves an unmatched node whole instead of replacing isolated words. The Getting started page supplies complete German prose and coherent English fallback for other locales until reviewed full-page translations exist.</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Before opening the main form in the designer, install export/DAT-component-kit/DelphiProjectHandoff/DesignPackages/Win32/Release/DATLanguageManagerFMXDesign.bpl through Component &gt; Install Packages &gt; Add. Keep its runtime BPLs beside it. The checked-in DPROJ already includes dependencies/DelphiAppTranslation/source in its compiler search path; no separate dependency preparation command is required. rsvars.bat initializes BDS and compiler/library environment. dcc32 builds the Win32 console tests, while MSBuild builds the application configurations.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tools\build-ui-translation.cmd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For the Change Guide, compile and run tests\DPH.Tests.ChangeGuide.dpr against DPH.Analysis.Explanations.pas. It checks the introduction, source citation, HTML escaping, incoming and bounded downstream relationships, linked contributor guidance, qualifications, and unavailable selections. Run the existing layout and learning tests when changing the serialized Project map or navigation. The UI translation check must still load all 35 packs after every form-text change.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0.8.0.20 experimental release has separate complete Win64 and Win32 ZIPs. Each contains one Release executable, its adjacent WebView2Loader.dll, 35 offline runtime language packs, the bundled German trial model, migrations, local help, current guides including Change_Guide.txt, directions, DPH's Apache 2.0 license, and third-party notices. Neither ZIP needs the other to run. Neither includes an owner .dphdb, private document copies, or reference-project working stores. The unmodified Bergamot model is attributed under CC BY-SA 4.0 with its license and indexed hashes.</w:t>
      </w:r>
    </w:p>
    <w:p>
      <w:r>
        <w:t>The build-ready source ZIP includes the editable project and forms, source, pinned translation dependency and DAT design package, guides and their source and illustrations, 35 runtime language packs, tests, and the OrderPractice example. It builds both platforms without either Windows ZIP or the optional translation-authoring ZIP. The fourth ZIP holds 35 Localization/Development projects for contributors who edit language packs; extract it into the source folder only when needed. The example is a reproducible development fixture, not an imported lesson for an arbitrary selected application.</w:t>
      </w:r>
    </w:p>
    <w:p>
      <w:pPr>
        <w:pStyle w:val="Heading3"/>
      </w:pPr>
      <w:r>
        <w:t>22.2. Run the packager deliberately</w:t>
      </w:r>
    </w:p>
    <w:p>
      <w:pPr>
        <w:keepLines/>
        <w:ind w:left="317" w:hanging="317"/>
      </w:pPr>
      <w:r>
        <w:rPr>
          <w:b/>
        </w:rPr>
        <w:t xml:space="preserve">1. </w:t>
      </w:r>
      <w:r>
        <w:t>Complete focused Change Guide, layout, learning, and 35-language validation; build the current Win32 and Win64 Release executables after final source and form edits.</w:t>
      </w:r>
    </w:p>
    <w:p>
      <w:pPr>
        <w:keepLines/>
        <w:ind w:left="317" w:hanging="317"/>
      </w:pPr>
      <w:r>
        <w:rPr>
          <w:b/>
        </w:rPr>
        <w:t xml:space="preserve">2. </w:t>
      </w:r>
      <w:r>
        <w:t>Review the exact source files and guide illustrations to distribute. Run tools\package-source-distribution.ps1 with a fresh four-component version such as 0.8.0.20. It creates the complete build-ready source ZIP and a separate optional translation-authoring ZIP, verifies every source file hash, and refuses an existing archive name.</w:t>
      </w:r>
    </w:p>
    <w:p>
      <w:pPr>
        <w:keepLines/>
        <w:ind w:left="317" w:hanging="317"/>
      </w:pPr>
      <w:r>
        <w:rPr>
          <w:b/>
        </w:rPr>
        <w:t xml:space="preserve">3. </w:t>
      </w:r>
      <w:r>
        <w:t>Extract the source ZIP into a fresh directory and build both platforms. Check that the example, current DOCX/PDF guides, Change_Guide.txt, HTML help, 35 runtime language packs, form resources, and illustrations are present. Extract the optional authoring ZIP over a copy only if editing language packs; its checksum manifest has a separate filename.</w:t>
      </w:r>
    </w:p>
    <w:p>
      <w:pPr>
        <w:keepLines/>
        <w:ind w:left="317" w:hanging="317"/>
      </w:pPr>
      <w:r>
        <w:rPr>
          <w:b/>
        </w:rPr>
        <w:t xml:space="preserve">4. </w:t>
      </w:r>
      <w:r>
        <w:t>Run tools\package-dph.ps1 with the same version after source and executables agree. It creates separate Win64 and Win32 ZIPs; verify each extraction, file hashes, Change Guide entry point, and launch independently.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each new Windows ZIP to its own writable location. Verify its SHA256.json entries against extracted bytes. Check migrations, current manuals, Change_Guide.txt, local help, 35 language packs and the loader beside the sole edition's executable. Start each extracted executable, confirm a responsive native window and normal close, then select a disposable Delphi project and verify that Handoff dossier names it, labels uncertainty, and links to source. In Project map, open Change Guide for a control or routine, follow a cited connection, visit source and impact, and return to the same guide. Check that the other main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build both platforms there. This demonstrates that source, forms, project file, dependencies and tools required for the build are included. Preserve the build log and exact archive hash. Check SHA256.txt against extracted files. The optional authoring ZIP has TRANSLATION_AUTHORING_SHA256.txt and must not replace the runtime Localization/Languages packs.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object explanations, and the bounded Change Guide from source facts and relevant attributed knowledge. Keep meaning first, qualify static links, and leave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ChangeGuideHTML(const AKey: string):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ADocumentPages: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 xml:space="preserve">procedure SaveWorkspaceView(AGenerationID: Int64; const AJSON: string; </w:t>
      </w:r>
    </w:p>
    <w:p>
      <w:pPr>
        <w:spacing w:after="40" w:line="247" w:lineRule="auto"/>
      </w:pPr>
      <w:r>
        <w:rPr>
          <w:rFonts w:ascii="Consolas" w:hAnsi="Consolas"/>
          <w:sz w:val="18"/>
        </w:rPr>
        <w:t>ARefreshCapturedDocuments: Boolean = False);</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Change Guide navigation,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SaveProjectClick(Sender: TObject);</w:t>
      </w:r>
    </w:p>
    <w:p>
      <w:pPr>
        <w:spacing w:after="40" w:line="247" w:lineRule="auto"/>
      </w:pPr>
      <w:r>
        <w:rPr>
          <w:rFonts w:ascii="Consolas" w:hAnsi="Consolas"/>
          <w:sz w:val="18"/>
        </w:rPr>
        <w:t>procedure RescanProjectClick(Sender: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OpenChangeGuideClick(Sender: TObject);</w:t>
      </w:r>
    </w:p>
    <w:p>
      <w:pPr>
        <w:spacing w:after="40" w:line="247" w:lineRule="auto"/>
      </w:pPr>
      <w:r>
        <w:rPr>
          <w:rFonts w:ascii="Consolas" w:hAnsi="Consolas"/>
          <w:sz w:val="18"/>
        </w:rPr>
        <w:t>procedure ReturnToMapClick(Sender: TObject);</w:t>
      </w:r>
    </w:p>
    <w:p>
      <w:pPr>
        <w:spacing w:after="40" w:line="247" w:lineRule="auto"/>
      </w:pPr>
      <w:r>
        <w:rPr>
          <w:rFonts w:ascii="Consolas" w:hAnsi="Consolas"/>
          <w:sz w:val="18"/>
        </w:rPr>
        <w:t>procedure ReturnToChangeGuideClick(Sender: TObject);</w:t>
      </w:r>
    </w:p>
    <w:p>
      <w:pPr>
        <w:spacing w:after="40" w:line="247" w:lineRule="auto"/>
      </w:pPr>
      <w:r>
        <w:rPr>
          <w:rFonts w:ascii="Consolas" w:hAnsi="Consolas"/>
          <w:sz w:val="18"/>
        </w:rPr>
        <w:t>procedure ChangeGuideSourceClick(Sender: TObject);</w:t>
      </w:r>
    </w:p>
    <w:p>
      <w:pPr>
        <w:spacing w:after="40" w:line="247" w:lineRule="auto"/>
      </w:pPr>
      <w:r>
        <w:rPr>
          <w:rFonts w:ascii="Consolas" w:hAnsi="Consolas"/>
          <w:sz w:val="18"/>
        </w:rPr>
        <w:t>procedure ChangeGuideImpactClick(Sender: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UI.Progress</w:t>
      </w:r>
    </w:p>
    <w:p>
      <w:r>
        <w:t>Source file: DPH.UI.Progress.pas. Defines the IDE-editable centered preparation window. The main form updates its stage message, progress bar and percentage from worker responses.</w:t>
      </w:r>
    </w:p>
    <w:p>
      <w:r>
        <w:t>Principal public types: TDPHProgressForm.</w:t>
      </w:r>
    </w:p>
    <w:p>
      <w:r>
        <w:t>This unit exposes shared data types/constants; inspect its declarations for the exact fields and current version values.</w:t>
      </w:r>
    </w:p>
    <w:p>
      <w:pPr>
        <w:pStyle w:val="Heading3"/>
      </w:pPr>
      <w:r>
        <w:t>25.39.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25.40. UI.SavePrompt</w:t>
      </w:r>
    </w:p>
    <w:p>
      <w:r>
        <w:t>Source file: DPH.UI.SavePrompt.pas. Defines the IDE-editable save, discard, and cancel prompt used when a temporary capture would be replaced or closed.</w:t>
      </w:r>
    </w:p>
    <w:p>
      <w:r>
        <w:t>Principal public types: TDPHSavePromptForm.</w:t>
      </w:r>
    </w:p>
    <w:p>
      <w:r>
        <w:t>This unit exposes shared data types/constants; inspect its declarations for the exact fields and current version values.</w:t>
      </w:r>
    </w:p>
    <w:p>
      <w:pPr>
        <w:pStyle w:val="Heading3"/>
      </w:pPr>
      <w:r>
        <w:t>25.41.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25.42.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25.43.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25.44.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25.45.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25.46.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25.47.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25.48.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25.49.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25.50.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25.51.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25.52.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25.53.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25.54.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25.55.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25.56.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61  |  23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60" w:line="264" w:lineRule="auto"/>
    </w:pPr>
    <w:rPr>
      <w:rFonts w:ascii="Calibri" w:hAnsi="Calibri"/>
      <w:color w:val="000000"/>
      <w:sz w:val="22"/>
    </w:rPr>
  </w:style>
  <w:style w:type="paragraph" w:customStyle="1" w:styleId="TOC2">
    <w:name w:val="TOC 2"/>
    <w:pPr>
      <w:spacing w:after="60" w:line="264"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