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Resolve form inheritance and frame overlays</w:t>
      </w:r>
      <w:r>
        <w:rPr>
          <w:sz w:val="20"/>
        </w:rPr>
        <w:tab/>
        <w:t>16</w:t>
      </w:r>
    </w:p>
    <w:p>
      <w:pPr>
        <w:spacing w:after="0" w:line="240" w:lineRule="auto"/>
        <w:tabs>
          <w:tab w:val="right" w:leader="dot" w:pos="9360"/>
        </w:tabs>
      </w:pPr>
      <w:r>
        <w:rPr>
          <w:sz w:val="20"/>
        </w:rPr>
        <w:t>Store attributed action purpose mappings</w:t>
      </w:r>
      <w:r>
        <w:rPr>
          <w:sz w:val="20"/>
        </w:rPr>
        <w:tab/>
        <w:t>16</w:t>
      </w:r>
    </w:p>
    <w:p>
      <w:pPr>
        <w:spacing w:after="0" w:line="240" w:lineRule="auto"/>
        <w:tabs>
          <w:tab w:val="right" w:leader="dot" w:pos="9360"/>
        </w:tabs>
      </w:pPr>
      <w:r>
        <w:rPr>
          <w:sz w:val="20"/>
        </w:rPr>
        <w:t>Compare attributed screen evidence and captured layouts</w:t>
      </w:r>
      <w:r>
        <w:rPr>
          <w:sz w:val="20"/>
        </w:rPr>
        <w:tab/>
        <w:t>17</w:t>
      </w:r>
    </w:p>
    <w:p>
      <w:pPr>
        <w:spacing w:after="0" w:line="240" w:lineRule="auto"/>
        <w:tabs>
          <w:tab w:val="right" w:leader="dot" w:pos="9360"/>
        </w:tabs>
      </w:pPr>
      <w:r>
        <w:rPr>
          <w:sz w:val="20"/>
        </w:rPr>
        <w:t>Build a safe captured database connection inventory</w:t>
      </w:r>
      <w:r>
        <w:rPr>
          <w:sz w:val="20"/>
        </w:rPr>
        <w:tab/>
        <w:t>17</w:t>
      </w:r>
    </w:p>
    <w:p>
      <w:pPr>
        <w:spacing w:after="0" w:line="240" w:lineRule="auto"/>
        <w:tabs>
          <w:tab w:val="right" w:leader="dot" w:pos="9360"/>
        </w:tabs>
      </w:pPr>
      <w:r>
        <w:rPr>
          <w:sz w:val="20"/>
        </w:rPr>
        <w:t>Derive captured database engine and version evidence</w:t>
      </w:r>
      <w:r>
        <w:rPr>
          <w:sz w:val="20"/>
        </w:rPr>
        <w:tab/>
        <w:t>18</w:t>
      </w:r>
    </w:p>
    <w:p>
      <w:pPr>
        <w:spacing w:after="0" w:line="240" w:lineRule="auto"/>
        <w:tabs>
          <w:tab w:val="right" w:leader="dot" w:pos="9360"/>
        </w:tabs>
      </w:pPr>
      <w:r>
        <w:rPr>
          <w:sz w:val="20"/>
        </w:rPr>
        <w:t>Inspect captured database schema evidence</w:t>
      </w:r>
      <w:r>
        <w:rPr>
          <w:sz w:val="20"/>
        </w:rPr>
        <w:tab/>
        <w:t>19</w:t>
      </w:r>
    </w:p>
    <w:p>
      <w:pPr>
        <w:spacing w:after="0" w:line="240" w:lineRule="auto"/>
        <w:tabs>
          <w:tab w:val="right" w:leader="dot" w:pos="9360"/>
        </w:tabs>
      </w:pPr>
      <w:r>
        <w:rPr>
          <w:sz w:val="20"/>
        </w:rPr>
        <w:t>Extract captured column declarations and constraint text</w:t>
      </w:r>
      <w:r>
        <w:rPr>
          <w:sz w:val="20"/>
        </w:rPr>
        <w:tab/>
        <w:t>19</w:t>
      </w:r>
    </w:p>
    <w:p>
      <w:pPr>
        <w:spacing w:after="0" w:line="240" w:lineRule="auto"/>
        <w:tabs>
          <w:tab w:val="right" w:leader="dot" w:pos="9360"/>
        </w:tabs>
      </w:pPr>
      <w:r>
        <w:rPr>
          <w:sz w:val="20"/>
        </w:rPr>
        <w:t>Source and revision evidence</w:t>
      </w:r>
      <w:r>
        <w:rPr>
          <w:sz w:val="20"/>
        </w:rPr>
        <w:tab/>
        <w:t>20</w:t>
      </w:r>
    </w:p>
    <w:p>
      <w:pPr>
        <w:spacing w:before="0" w:after="0" w:line="20" w:lineRule="exact"/>
      </w:pPr>
      <w:r>
        <w:rPr>
          <w:sz w:val="2"/>
        </w:rP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ee53e145dce65e0d58a8e4061547dcbb84f979ccb9f5723a8d243acb334d17f7</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8e8e02ab9df85218f1664a13d90ffe189f18cb0d0365df3d253d1e9d4b6ff9cc</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a18895ef7fe86fa7bc3df2b15c7c8cb8f1930455b09a118ad99b9ddf943a7075</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