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12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0"/>
        </w:rPr>
        <w:t>Purpose and evidence</w:t>
      </w:r>
      <w:r>
        <w:rPr>
          <w:sz w:val="20"/>
        </w:rPr>
        <w:tab/>
        <w:t>3</w:t>
      </w:r>
    </w:p>
    <w:p>
      <w:pPr>
        <w:spacing w:after="0" w:line="240" w:lineRule="auto"/>
        <w:tabs>
          <w:tab w:val="right" w:leader="dot" w:pos="9360"/>
        </w:tabs>
      </w:pPr>
      <w:r>
        <w:rPr>
          <w:sz w:val="20"/>
        </w:rPr>
        <w:t>Start DPH</w:t>
      </w:r>
      <w:r>
        <w:rPr>
          <w:sz w:val="20"/>
        </w:rPr>
        <w:tab/>
        <w:t>3</w:t>
      </w:r>
    </w:p>
    <w:p>
      <w:pPr>
        <w:spacing w:after="0" w:line="240" w:lineRule="auto"/>
        <w:tabs>
          <w:tab w:val="right" w:leader="dot" w:pos="9360"/>
        </w:tabs>
      </w:pPr>
      <w:r>
        <w:rPr>
          <w:sz w:val="20"/>
        </w:rPr>
        <w:t>Run the application and its checks</w:t>
      </w:r>
      <w:r>
        <w:rPr>
          <w:sz w:val="20"/>
        </w:rPr>
        <w:tab/>
        <w:t>3</w:t>
      </w:r>
    </w:p>
    <w:p>
      <w:pPr>
        <w:spacing w:after="0" w:line="240" w:lineRule="auto"/>
        <w:tabs>
          <w:tab w:val="right" w:leader="dot" w:pos="9360"/>
        </w:tabs>
      </w:pPr>
      <w:r>
        <w:rPr>
          <w:sz w:val="20"/>
        </w:rPr>
        <w:t>Attach a source project</w:t>
      </w:r>
      <w:r>
        <w:rPr>
          <w:sz w:val="20"/>
        </w:rPr>
        <w:tab/>
        <w:t>4</w:t>
      </w:r>
    </w:p>
    <w:p>
      <w:pPr>
        <w:spacing w:after="0" w:line="240" w:lineRule="auto"/>
        <w:tabs>
          <w:tab w:val="right" w:leader="dot" w:pos="9360"/>
        </w:tabs>
      </w:pPr>
      <w:r>
        <w:rPr>
          <w:sz w:val="20"/>
        </w:rPr>
        <w:t>Open cached work</w:t>
      </w:r>
      <w:r>
        <w:rPr>
          <w:sz w:val="20"/>
        </w:rPr>
        <w:tab/>
        <w:t>4</w:t>
      </w:r>
    </w:p>
    <w:p>
      <w:pPr>
        <w:spacing w:after="0" w:line="240" w:lineRule="auto"/>
        <w:tabs>
          <w:tab w:val="right" w:leader="dot" w:pos="9360"/>
        </w:tabs>
      </w:pPr>
      <w:r>
        <w:rPr>
          <w:sz w:val="20"/>
        </w:rPr>
        <w:t>Manage the project catalog</w:t>
      </w:r>
      <w:r>
        <w:rPr>
          <w:sz w:val="20"/>
        </w:rPr>
        <w:tab/>
        <w:t>5</w:t>
      </w:r>
    </w:p>
    <w:p>
      <w:pPr>
        <w:spacing w:after="0" w:line="240" w:lineRule="auto"/>
        <w:tabs>
          <w:tab w:val="right" w:leader="dot" w:pos="9360"/>
        </w:tabs>
      </w:pPr>
      <w:r>
        <w:rPr>
          <w:sz w:val="20"/>
        </w:rPr>
        <w:t>Record the selected application profile</w:t>
      </w:r>
      <w:r>
        <w:rPr>
          <w:sz w:val="20"/>
        </w:rPr>
        <w:tab/>
        <w:t>5</w:t>
      </w:r>
    </w:p>
    <w:p>
      <w:pPr>
        <w:spacing w:after="0" w:line="240" w:lineRule="auto"/>
        <w:tabs>
          <w:tab w:val="right" w:leader="dot" w:pos="9360"/>
        </w:tabs>
      </w:pPr>
      <w:r>
        <w:rPr>
          <w:sz w:val="20"/>
        </w:rPr>
        <w:t>Define and review business terms</w:t>
      </w:r>
      <w:r>
        <w:rPr>
          <w:sz w:val="20"/>
        </w:rPr>
        <w:tab/>
        <w:t>5</w:t>
      </w:r>
    </w:p>
    <w:p>
      <w:pPr>
        <w:spacing w:after="0" w:line="240" w:lineRule="auto"/>
        <w:tabs>
          <w:tab w:val="right" w:leader="dot" w:pos="9360"/>
        </w:tabs>
      </w:pPr>
      <w:r>
        <w:rPr>
          <w:sz w:val="20"/>
        </w:rPr>
        <w:t>Learn the selected project</w:t>
      </w:r>
      <w:r>
        <w:rPr>
          <w:sz w:val="20"/>
        </w:rPr>
        <w:tab/>
        <w:t>6</w:t>
      </w:r>
    </w:p>
    <w:p>
      <w:pPr>
        <w:spacing w:after="0" w:line="240" w:lineRule="auto"/>
        <w:tabs>
          <w:tab w:val="right" w:leader="dot" w:pos="9360"/>
        </w:tabs>
      </w:pPr>
      <w:r>
        <w:rPr>
          <w:sz w:val="20"/>
        </w:rPr>
        <w:t>Measure coverage before relying on an explanation</w:t>
      </w:r>
      <w:r>
        <w:rPr>
          <w:sz w:val="20"/>
        </w:rPr>
        <w:tab/>
        <w:t>8</w:t>
      </w:r>
    </w:p>
    <w:p>
      <w:pPr>
        <w:spacing w:after="0" w:line="240" w:lineRule="auto"/>
        <w:tabs>
          <w:tab w:val="right" w:leader="dot" w:pos="9360"/>
        </w:tabs>
      </w:pPr>
      <w:r>
        <w:rPr>
          <w:sz w:val="20"/>
        </w:rPr>
        <w:t>Explore and search</w:t>
      </w:r>
      <w:r>
        <w:rPr>
          <w:sz w:val="20"/>
        </w:rPr>
        <w:tab/>
        <w:t>8</w:t>
      </w:r>
    </w:p>
    <w:p>
      <w:pPr>
        <w:spacing w:after="0" w:line="240" w:lineRule="auto"/>
        <w:tabs>
          <w:tab w:val="right" w:leader="dot" w:pos="9360"/>
        </w:tabs>
      </w:pPr>
      <w:r>
        <w:rPr>
          <w:sz w:val="20"/>
        </w:rPr>
        <w:t>Search across the captured project</w:t>
      </w:r>
      <w:r>
        <w:rPr>
          <w:sz w:val="20"/>
        </w:rPr>
        <w:tab/>
        <w:t>8</w:t>
      </w:r>
    </w:p>
    <w:p>
      <w:pPr>
        <w:spacing w:after="0" w:line="240" w:lineRule="auto"/>
        <w:tabs>
          <w:tab w:val="right" w:leader="dot" w:pos="9360"/>
        </w:tabs>
      </w:pPr>
      <w:r>
        <w:rPr>
          <w:sz w:val="20"/>
        </w:rPr>
        <w:t>Read source and graph evidence</w:t>
      </w:r>
      <w:r>
        <w:rPr>
          <w:sz w:val="20"/>
        </w:rPr>
        <w:tab/>
        <w:t>8</w:t>
      </w:r>
    </w:p>
    <w:p>
      <w:pPr>
        <w:spacing w:after="0" w:line="240" w:lineRule="auto"/>
        <w:tabs>
          <w:tab w:val="right" w:leader="dot" w:pos="9360"/>
        </w:tabs>
      </w:pPr>
      <w:r>
        <w:rPr>
          <w:sz w:val="20"/>
        </w:rPr>
        <w:t>Investigate source quality candidates</w:t>
      </w:r>
      <w:r>
        <w:rPr>
          <w:sz w:val="20"/>
        </w:rPr>
        <w:tab/>
        <w:t>9</w:t>
      </w:r>
    </w:p>
    <w:p>
      <w:pPr>
        <w:spacing w:after="0" w:line="240" w:lineRule="auto"/>
        <w:tabs>
          <w:tab w:val="right" w:leader="dot" w:pos="9360"/>
        </w:tabs>
      </w:pPr>
      <w:r>
        <w:rPr>
          <w:sz w:val="20"/>
        </w:rPr>
        <w:t>Compare captured revisions</w:t>
      </w:r>
      <w:r>
        <w:rPr>
          <w:sz w:val="20"/>
        </w:rPr>
        <w:tab/>
        <w:t>9</w:t>
      </w:r>
    </w:p>
    <w:p>
      <w:pPr>
        <w:spacing w:after="0" w:line="240" w:lineRule="auto"/>
        <w:tabs>
          <w:tab w:val="right" w:leader="dot" w:pos="9360"/>
        </w:tabs>
      </w:pPr>
      <w:r>
        <w:rPr>
          <w:sz w:val="20"/>
        </w:rPr>
        <w:t>Choose graph scope and grouping</w:t>
      </w:r>
      <w:r>
        <w:rPr>
          <w:sz w:val="20"/>
        </w:rPr>
        <w:tab/>
        <w:t>10</w:t>
      </w:r>
    </w:p>
    <w:p>
      <w:pPr>
        <w:spacing w:after="0" w:line="240" w:lineRule="auto"/>
        <w:tabs>
          <w:tab w:val="right" w:leader="dot" w:pos="9360"/>
        </w:tabs>
      </w:pPr>
      <w:r>
        <w:rPr>
          <w:sz w:val="20"/>
        </w:rPr>
        <w:t>Read a routine as a beginner</w:t>
      </w:r>
      <w:r>
        <w:rPr>
          <w:sz w:val="20"/>
        </w:rPr>
        <w:tab/>
        <w:t>10</w:t>
      </w:r>
    </w:p>
    <w:p>
      <w:pPr>
        <w:spacing w:after="0" w:line="240" w:lineRule="auto"/>
        <w:tabs>
          <w:tab w:val="right" w:leader="dot" w:pos="9360"/>
        </w:tabs>
      </w:pPr>
      <w:r>
        <w:rPr>
          <w:sz w:val="20"/>
        </w:rPr>
        <w:t>Inspect screens</w:t>
      </w:r>
      <w:r>
        <w:rPr>
          <w:sz w:val="20"/>
        </w:rPr>
        <w:tab/>
        <w:t>10</w:t>
      </w:r>
    </w:p>
    <w:p>
      <w:pPr>
        <w:spacing w:after="0" w:line="240" w:lineRule="auto"/>
        <w:tabs>
          <w:tab w:val="right" w:leader="dot" w:pos="9360"/>
        </w:tabs>
      </w:pPr>
      <w:r>
        <w:rPr>
          <w:sz w:val="20"/>
        </w:rPr>
        <w:t>Inspect keyboard shortcuts and focus order</w:t>
      </w:r>
      <w:r>
        <w:rPr>
          <w:sz w:val="20"/>
        </w:rPr>
        <w:tab/>
        <w:t>11</w:t>
      </w:r>
    </w:p>
    <w:p>
      <w:pPr>
        <w:spacing w:after="0" w:line="240" w:lineRule="auto"/>
        <w:tabs>
          <w:tab w:val="right" w:leader="dot" w:pos="9360"/>
        </w:tabs>
      </w:pPr>
      <w:r>
        <w:rPr>
          <w:sz w:val="20"/>
        </w:rPr>
        <w:t>Inspect menus context menus and toolbars</w:t>
      </w:r>
      <w:r>
        <w:rPr>
          <w:sz w:val="20"/>
        </w:rPr>
        <w:tab/>
        <w:t>11</w:t>
      </w:r>
    </w:p>
    <w:p>
      <w:pPr>
        <w:spacing w:after="0" w:line="240" w:lineRule="auto"/>
        <w:tabs>
          <w:tab w:val="right" w:leader="dot" w:pos="9360"/>
        </w:tabs>
      </w:pPr>
      <w:r>
        <w:rPr>
          <w:sz w:val="20"/>
        </w:rPr>
        <w:t>Inspect dynamic and runtime created controls</w:t>
      </w:r>
      <w:r>
        <w:rPr>
          <w:sz w:val="20"/>
        </w:rPr>
        <w:tab/>
        <w:t>12</w:t>
      </w:r>
    </w:p>
    <w:p>
      <w:pPr>
        <w:spacing w:after="0" w:line="240" w:lineRule="auto"/>
        <w:tabs>
          <w:tab w:val="right" w:leader="dot" w:pos="9360"/>
        </w:tabs>
      </w:pPr>
      <w:r>
        <w:rPr>
          <w:sz w:val="20"/>
        </w:rPr>
        <w:t>Inspect responsive layouts anchors and alignments</w:t>
      </w:r>
      <w:r>
        <w:rPr>
          <w:sz w:val="20"/>
        </w:rPr>
        <w:tab/>
        <w:t>12</w:t>
      </w:r>
    </w:p>
    <w:p>
      <w:pPr>
        <w:spacing w:after="0" w:line="240" w:lineRule="auto"/>
        <w:tabs>
          <w:tab w:val="right" w:leader="dot" w:pos="9360"/>
        </w:tabs>
      </w:pPr>
      <w:r>
        <w:rPr>
          <w:sz w:val="20"/>
        </w:rPr>
        <w:t>Inspect component dependencies and support records</w:t>
      </w:r>
      <w:r>
        <w:rPr>
          <w:sz w:val="20"/>
        </w:rPr>
        <w:tab/>
        <w:t>13</w:t>
      </w:r>
    </w:p>
    <w:p>
      <w:pPr>
        <w:spacing w:after="0" w:line="240" w:lineRule="auto"/>
        <w:tabs>
          <w:tab w:val="right" w:leader="dot" w:pos="9360"/>
        </w:tabs>
      </w:pPr>
      <w:r>
        <w:rPr>
          <w:sz w:val="20"/>
        </w:rPr>
        <w:t>Inspect inherited forms and embedded frames</w:t>
      </w:r>
      <w:r>
        <w:rPr>
          <w:sz w:val="20"/>
        </w:rPr>
        <w:tab/>
        <w:t>13</w:t>
      </w:r>
    </w:p>
    <w:p>
      <w:pPr>
        <w:spacing w:after="0" w:line="240" w:lineRule="auto"/>
        <w:tabs>
          <w:tab w:val="right" w:leader="dot" w:pos="9360"/>
        </w:tabs>
      </w:pPr>
      <w:r>
        <w:rPr>
          <w:sz w:val="20"/>
        </w:rPr>
        <w:t>Import actual screenshot evidence</w:t>
      </w:r>
      <w:r>
        <w:rPr>
          <w:sz w:val="20"/>
        </w:rPr>
        <w:tab/>
        <w:t>14</w:t>
      </w:r>
    </w:p>
    <w:p>
      <w:pPr>
        <w:spacing w:after="0" w:line="240" w:lineRule="auto"/>
        <w:tabs>
          <w:tab w:val="right" w:leader="dot" w:pos="9360"/>
        </w:tabs>
      </w:pPr>
      <w:r>
        <w:rPr>
          <w:sz w:val="20"/>
        </w:rPr>
        <w:t>Inspect database connections and datasets</w:t>
      </w:r>
      <w:r>
        <w:rPr>
          <w:sz w:val="20"/>
        </w:rPr>
        <w:tab/>
        <w:t>14</w:t>
      </w:r>
    </w:p>
    <w:p>
      <w:pPr>
        <w:spacing w:after="0" w:line="240" w:lineRule="auto"/>
        <w:tabs>
          <w:tab w:val="right" w:leader="dot" w:pos="9360"/>
        </w:tabs>
      </w:pPr>
      <w:r>
        <w:rPr>
          <w:sz w:val="20"/>
        </w:rPr>
        <w:t>Inspect database engines and versions</w:t>
      </w:r>
      <w:r>
        <w:rPr>
          <w:sz w:val="20"/>
        </w:rPr>
        <w:tab/>
        <w:t>15</w:t>
      </w:r>
    </w:p>
    <w:p>
      <w:pPr>
        <w:spacing w:after="0" w:line="240" w:lineRule="auto"/>
        <w:tabs>
          <w:tab w:val="right" w:leader="dot" w:pos="9360"/>
        </w:tabs>
      </w:pPr>
      <w:r>
        <w:rPr>
          <w:sz w:val="20"/>
        </w:rPr>
        <w:t>Inspect tables views and schemas</w:t>
      </w:r>
      <w:r>
        <w:rPr>
          <w:sz w:val="20"/>
        </w:rPr>
        <w:tab/>
        <w:t>15</w:t>
      </w:r>
    </w:p>
    <w:p>
      <w:pPr>
        <w:spacing w:after="0" w:line="240" w:lineRule="auto"/>
        <w:tabs>
          <w:tab w:val="right" w:leader="dot" w:pos="9360"/>
        </w:tabs>
      </w:pPr>
      <w:r>
        <w:rPr>
          <w:sz w:val="20"/>
        </w:rPr>
        <w:t>Inspect column types defaults and constraints</w:t>
      </w:r>
      <w:r>
        <w:rPr>
          <w:sz w:val="20"/>
        </w:rPr>
        <w:tab/>
        <w:t>16</w:t>
      </w:r>
    </w:p>
    <w:p>
      <w:pPr>
        <w:spacing w:after="0" w:line="240" w:lineRule="auto"/>
        <w:tabs>
          <w:tab w:val="right" w:leader="dot" w:pos="9360"/>
        </w:tabs>
      </w:pPr>
      <w:r>
        <w:rPr>
          <w:sz w:val="20"/>
        </w:rPr>
        <w:t>Compare screen history and visual changes</w:t>
      </w:r>
      <w:r>
        <w:rPr>
          <w:sz w:val="20"/>
        </w:rPr>
        <w:tab/>
        <w:t>17</w:t>
      </w:r>
    </w:p>
    <w:p>
      <w:pPr>
        <w:spacing w:after="0" w:line="240" w:lineRule="auto"/>
        <w:tabs>
          <w:tab w:val="right" w:leader="dot" w:pos="9360"/>
        </w:tabs>
      </w:pPr>
      <w:r>
        <w:rPr>
          <w:sz w:val="20"/>
        </w:rPr>
        <w:t>Record user actions and business purposes</w:t>
      </w:r>
      <w:r>
        <w:rPr>
          <w:sz w:val="20"/>
        </w:rPr>
        <w:tab/>
        <w:t>17</w:t>
      </w:r>
    </w:p>
    <w:p>
      <w:pPr>
        <w:spacing w:after="0" w:line="240" w:lineRule="auto"/>
        <w:tabs>
          <w:tab w:val="right" w:leader="dot" w:pos="9360"/>
        </w:tabs>
      </w:pPr>
      <w:r>
        <w:rPr>
          <w:sz w:val="20"/>
        </w:rPr>
        <w:t>Write attributed knowledge</w:t>
      </w:r>
      <w:r>
        <w:rPr>
          <w:sz w:val="20"/>
        </w:rPr>
        <w:tab/>
        <w:t>18</w:t>
      </w:r>
    </w:p>
    <w:p>
      <w:pPr>
        <w:spacing w:after="0" w:line="240" w:lineRule="auto"/>
        <w:tabs>
          <w:tab w:val="right" w:leader="dot" w:pos="9360"/>
        </w:tabs>
      </w:pPr>
      <w:r>
        <w:rPr>
          <w:sz w:val="20"/>
        </w:rPr>
        <w:t>Link authored sections to exact evidence</w:t>
      </w:r>
      <w:r>
        <w:rPr>
          <w:sz w:val="20"/>
        </w:rPr>
        <w:tab/>
        <w:t>18</w:t>
      </w:r>
    </w:p>
    <w:p>
      <w:pPr>
        <w:spacing w:after="0" w:line="240" w:lineRule="auto"/>
        <w:tabs>
          <w:tab w:val="right" w:leader="dot" w:pos="9360"/>
        </w:tabs>
      </w:pPr>
      <w:r>
        <w:rPr>
          <w:sz w:val="20"/>
        </w:rPr>
        <w:t>Review and retire knowledge</w:t>
      </w:r>
      <w:r>
        <w:rPr>
          <w:sz w:val="20"/>
        </w:rPr>
        <w:tab/>
        <w:t>19</w:t>
      </w:r>
    </w:p>
    <w:p>
      <w:pPr>
        <w:spacing w:after="0" w:line="240" w:lineRule="auto"/>
        <w:tabs>
          <w:tab w:val="right" w:leader="dot" w:pos="9360"/>
        </w:tabs>
      </w:pPr>
      <w:r>
        <w:rPr>
          <w:sz w:val="20"/>
        </w:rPr>
        <w:t>Review changed knowledge against evidence</w:t>
      </w:r>
      <w:r>
        <w:rPr>
          <w:sz w:val="20"/>
        </w:rPr>
        <w:tab/>
        <w:t>19</w:t>
      </w:r>
    </w:p>
    <w:p>
      <w:pPr>
        <w:spacing w:after="0" w:line="240" w:lineRule="auto"/>
        <w:tabs>
          <w:tab w:val="right" w:leader="dot" w:pos="9360"/>
        </w:tabs>
      </w:pPr>
      <w:r>
        <w:rPr>
          <w:sz w:val="20"/>
        </w:rPr>
        <w:t>Answer focused author questions</w:t>
      </w:r>
      <w:r>
        <w:rPr>
          <w:sz w:val="20"/>
        </w:rPr>
        <w:tab/>
        <w:t>19</w:t>
      </w:r>
    </w:p>
    <w:p>
      <w:pPr>
        <w:spacing w:after="0" w:line="240" w:lineRule="auto"/>
        <w:tabs>
          <w:tab w:val="right" w:leader="dot" w:pos="9360"/>
        </w:tabs>
      </w:pPr>
      <w:r>
        <w:rPr>
          <w:sz w:val="20"/>
        </w:rPr>
        <w:t>Preserve saved runtime observations</w:t>
      </w:r>
      <w:r>
        <w:rPr>
          <w:sz w:val="20"/>
        </w:rPr>
        <w:tab/>
        <w:t>20</w:t>
      </w:r>
    </w:p>
    <w:p>
      <w:pPr>
        <w:spacing w:after="0" w:line="240" w:lineRule="auto"/>
        <w:tabs>
          <w:tab w:val="right" w:leader="dot" w:pos="9360"/>
        </w:tabs>
      </w:pPr>
      <w:r>
        <w:rPr>
          <w:sz w:val="20"/>
        </w:rPr>
        <w:t>Retain captures and review rename continuity</w:t>
      </w:r>
      <w:r>
        <w:rPr>
          <w:sz w:val="20"/>
        </w:rPr>
        <w:tab/>
        <w:t>20</w:t>
      </w:r>
    </w:p>
    <w:p>
      <w:pPr>
        <w:spacing w:after="0" w:line="240" w:lineRule="auto"/>
        <w:tabs>
          <w:tab w:val="right" w:leader="dot" w:pos="9360"/>
        </w:tabs>
      </w:pPr>
      <w:r>
        <w:rPr>
          <w:sz w:val="20"/>
        </w:rPr>
        <w:t>Back up and restore a complete database</w:t>
      </w:r>
      <w:r>
        <w:rPr>
          <w:sz w:val="20"/>
        </w:rPr>
        <w:tab/>
        <w:t>20</w:t>
      </w:r>
    </w:p>
    <w:p>
      <w:pPr>
        <w:spacing w:after="0" w:line="240" w:lineRule="auto"/>
        <w:tabs>
          <w:tab w:val="right" w:leader="dot" w:pos="9360"/>
        </w:tabs>
      </w:pPr>
      <w:r>
        <w:rPr>
          <w:sz w:val="20"/>
        </w:rPr>
        <w:t>Publish manuals and handoffs</w:t>
      </w:r>
      <w:r>
        <w:rPr>
          <w:sz w:val="20"/>
        </w:rPr>
        <w:tab/>
        <w:t>21</w:t>
      </w:r>
    </w:p>
    <w:p>
      <w:pPr>
        <w:spacing w:after="0" w:line="240" w:lineRule="auto"/>
        <w:tabs>
          <w:tab w:val="right" w:leader="dot" w:pos="9360"/>
        </w:tabs>
      </w:pPr>
      <w:r>
        <w:rPr>
          <w:sz w:val="20"/>
        </w:rPr>
        <w:t>Translate and review saved sections</w:t>
      </w:r>
      <w:r>
        <w:rPr>
          <w:sz w:val="20"/>
        </w:rPr>
        <w:tab/>
        <w:t>21</w:t>
      </w:r>
    </w:p>
    <w:p>
      <w:pPr>
        <w:spacing w:after="0" w:line="240" w:lineRule="auto"/>
        <w:tabs>
          <w:tab w:val="right" w:leader="dot" w:pos="9360"/>
        </w:tabs>
      </w:pPr>
      <w:r>
        <w:rPr>
          <w:sz w:val="20"/>
        </w:rPr>
        <w:t>Publish localized text and source browsing</w:t>
      </w:r>
      <w:r>
        <w:rPr>
          <w:sz w:val="20"/>
        </w:rPr>
        <w:tab/>
        <w:t>22</w:t>
      </w:r>
    </w:p>
    <w:p>
      <w:pPr>
        <w:spacing w:after="0" w:line="240" w:lineRule="auto"/>
        <w:tabs>
          <w:tab w:val="right" w:leader="dot" w:pos="9360"/>
        </w:tabs>
      </w:pPr>
      <w:r>
        <w:rPr>
          <w:sz w:val="20"/>
        </w:rPr>
        <w:t>Validate a bundle in the application</w:t>
      </w:r>
      <w:r>
        <w:rPr>
          <w:sz w:val="20"/>
        </w:rPr>
        <w:tab/>
        <w:t>22</w:t>
      </w:r>
    </w:p>
    <w:p>
      <w:pPr>
        <w:spacing w:after="0" w:line="240" w:lineRule="auto"/>
        <w:tabs>
          <w:tab w:val="right" w:leader="dot" w:pos="9360"/>
        </w:tabs>
      </w:pPr>
      <w:r>
        <w:rPr>
          <w:sz w:val="20"/>
        </w:rPr>
        <w:t>Validate and preserve exports</w:t>
      </w:r>
      <w:r>
        <w:rPr>
          <w:sz w:val="20"/>
        </w:rPr>
        <w:tab/>
        <w:t>22</w:t>
      </w:r>
    </w:p>
    <w:p>
      <w:pPr>
        <w:spacing w:after="0" w:line="240" w:lineRule="auto"/>
        <w:tabs>
          <w:tab w:val="right" w:leader="dot" w:pos="9360"/>
        </w:tabs>
      </w:pPr>
      <w:r>
        <w:rPr>
          <w:sz w:val="20"/>
        </w:rPr>
        <w:t>Troubleshoot common states</w:t>
      </w:r>
      <w:r>
        <w:rPr>
          <w:sz w:val="20"/>
        </w:rPr>
        <w:tab/>
        <w:t>23</w:t>
      </w:r>
    </w:p>
    <w:p>
      <w:pPr>
        <w:spacing w:after="0" w:line="240" w:lineRule="auto"/>
        <w:tabs>
          <w:tab w:val="right" w:leader="dot" w:pos="9360"/>
        </w:tabs>
      </w:pPr>
      <w:r>
        <w:rPr>
          <w:sz w:val="20"/>
        </w:rPr>
        <w:t>Practice a maintenance handoff</w:t>
      </w:r>
      <w:r>
        <w:rPr>
          <w:sz w:val="20"/>
        </w:rPr>
        <w:tab/>
        <w:t>23</w:t>
      </w:r>
    </w:p>
    <w:p>
      <w:pPr>
        <w:spacing w:after="0" w:line="240" w:lineRule="auto"/>
        <w:tabs>
          <w:tab w:val="right" w:leader="dot" w:pos="9360"/>
        </w:tabs>
      </w:pPr>
      <w:r>
        <w:rPr>
          <w:sz w:val="20"/>
        </w:rPr>
        <w:t>Understand implementation status</w:t>
      </w:r>
      <w:r>
        <w:rPr>
          <w:sz w:val="20"/>
        </w:rPr>
        <w:tab/>
        <w:t>23</w:t>
      </w:r>
    </w:p>
    <w:p>
      <w:pPr>
        <w:spacing w:after="0" w:line="240" w:lineRule="auto"/>
        <w:tabs>
          <w:tab w:val="right" w:leader="dot" w:pos="9360"/>
        </w:tabs>
      </w:pPr>
      <w:r>
        <w:rPr>
          <w:sz w:val="20"/>
        </w:rPr>
        <w:t>Source and revision evidence</w:t>
      </w:r>
      <w:r>
        <w:rPr>
          <w:sz w:val="20"/>
        </w:rPr>
        <w:tab/>
        <w:t>24</w:t>
      </w:r>
    </w:p>
    <w:p>
      <w:pPr>
        <w:spacing w:before="0" w:after="0" w:line="20" w:lineRule="exact"/>
      </w:pPr>
      <w:r>
        <w:rPr>
          <w:sz w:val="2"/>
        </w:rPr>
        <w:fldChar w:fldCharType="end"/>
      </w:r>
    </w:p>
    <w:p>
      <w:r>
        <w:br w:type="page"/>
      </w:r>
    </w:p>
    <w:p>
      <w:pPr>
        <w:pStyle w:val="Heading1"/>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and Change impact. Select a relevant routine or component before choosing a narrow graph.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graph views retain their 120-node bound.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Inspect dynamic and runtime created controls</w:t>
      </w:r>
    </w:p>
    <w:p>
      <w:r>
        <w:t>Open the intended project and choose Dynamic controls in the upper-right page selector. Attach the source and click Full reassessment for an older capture; DPH-WP3-12 adds owner, parent and event relationships that old captures do not contain. Select a row to read its constructor class, generation, source range and fingerprint. Each row is a source creation site; a loop does not establish its runtime instance count.</w:t>
      </w:r>
    </w:p>
    <w:p>
      <w:r>
        <w:t>The detail box separates the lexical result variable, constructor owner, visual Parent assignment, event assignment and other property expressions. Owner describes lifetime ownership; it does not set Parent. Self refers to the declaring type, not an observed instance. Inferred links identify source declarations. nil preserves an explicit empty-reference expression. A reused or overwritten variable or assignment before construction remains ambiguous. Missing references remain unknown.</w:t>
      </w:r>
    </w:p>
    <w:p>
      <w:r>
        <w:t>Filter by routine, class, parent, owner or event. Next page advances through 250 sites and First page resets. Scroll the command bar horizontally to reach Explain creation site, the reference dropdown and Explain reference. Choose a relationship before explaining its target. Unresolved targets and nil expressions disable reference navigation. Explain opens captured evidence; use Source there for verified attached code. Scroll the detail box vertically or drag its divider to resize it.</w:t>
      </w:r>
    </w:p>
    <w:p>
      <w:r>
        <w:t>DPH does not execute the target or reconstruct observed controls from these sites. Runtime instances, final layout, dispatch and lifetime remain unobserved. Factories, aliases, casts, with scopes and cross-routine mutations can remain unsupported. See docs/guides/Dynamic_Controls_Run_and_Test.txt for explicit directions and manual exercises. Developers can run tools\build-dynamic-controls.cmd elevated for the focused acceptance suite.</w:t>
      </w:r>
    </w:p>
    <w:p>
      <w:pPr>
        <w:pStyle w:val="Heading1"/>
      </w:pPr>
      <w:r>
        <w:t>Inspect responsive layouts anchors and alignments</w:t>
      </w:r>
    </w:p>
    <w:p>
      <w:r>
        <w:t>Open the intended project and choose Layout rules in the upper-right page selector. Select a component to read its captured Align, Anchors, geometry, margins, padding, constraints, scaling and resize events with source locations. Parent means the serialized containing object. Missing and inherited rules remain unknown. These explanations help you investigate resizing without executing the target application.</w:t>
      </w:r>
    </w:p>
    <w:p>
      <w:r>
        <w:t>Enter a parent width change and height change, then click Apply example. Positive values illustrate growth; negative values illustrate shrinking. Each field accepts a whole number from -10000 to 10000. Invalid input preserves the previous valid example. At narrow widths, scroll the command bar horizontally to reach these fields and Apply example. Applying refreshes the filter and returns to the first page.</w:t>
      </w:r>
    </w:p>
    <w:p>
      <w:r>
        <w:t>Numeric anchor examples require an ordinary serialized child, a captured parent, explicit Align=None and recognized explicit anchors. Opposite edges illustrate a size change; trailing edges illustrate movement; leading edges illustrate a fixed offset. No anchor on an axis leaves its framework anchor origin unknown. Active alignment, inherited objects and missing or unknown rules receive explanations without unsupported numeric predictions.</w:t>
      </w:r>
    </w:p>
    <w:p>
      <w:r>
        <w:t>Filter by component, property or explanation. Next page advances through 250 rows; First page resets. Drag the divider below the list to resize it and scroll the detail box for all explanations. Component source opens attached unchanged text at its captured location. Detached, changed and binary source locations are refused explicitly.</w:t>
      </w:r>
    </w:p>
    <w:p>
      <w:r>
        <w:t>The example reports basic changes, not absolute final geometry. Constraints, autosizing, sibling alignment, inherited defaults, spacing, fonts, DPI and custom code can alter the actual result. Run the target separately and resize it at narrow and wide widths and different display scales. Compare with its Object Inspector settings. The Screens reconstruction remains approximate. Full directions are in docs/guides/Layout_Rules_Run_and_Test.txt; developers run tools\build-layout-rules.cmd elevated.</w:t>
      </w:r>
    </w:p>
    <w:p>
      <w:pPr>
        <w:pStyle w:val="Heading1"/>
      </w:pPr>
      <w:r>
        <w:t>Inspect component dependencies and support records</w:t>
      </w:r>
    </w:p>
    <w:p>
      <w:r>
        <w:t>Open the intended project and choose Component dependencies in the upper-right page selector. Select a component to read its class, form source, generation and fingerprint. DPH lists all captured classes because a name alone cannot establish third-party origin. Unresolved means no class declaration was captured; it can involve framework, vendor, local, inherited or excluded source.</w:t>
      </w:r>
    </w:p>
    <w:p>
      <w:r>
        <w:t>A unique class declaration is an inferred lexical candidate. Multiple declarations remain ambiguous. Explain class opens the unique candidate in Explain; it is disabled when no unique candidate exists. Component source opens attached unchanged form text. Detached, changed and binary source locations are refused explicitly. Captured package declarations and unavailable inputs are shown as project-wide context; they do not establish package membership or installed binaries.</w:t>
      </w:r>
    </w:p>
    <w:p>
      <w:r>
        <w:t>Click Edit dependency for the selected class. Enter a named contributor, declaring unit, package or product, vendor or maintainer, version and configuration, support or replacement considerations, and evidence references with remaining unknowns. Class identity is fixed. Evidence and contributor are required; blank optional fields remain unknown. Scroll the editor vertically to reach every field. Click Apply to Knowledge draft, then click Save on Knowledge and wait for completion. Applying alone does not save.</w:t>
      </w:r>
    </w:p>
    <w:p>
      <w:r>
        <w:t>Open in Knowledge shows the saved revision and immutable history. Use Knowledge links to add exact evidence and save, then enter a named reviewer and click Verify review only after checking the claims. Editing dependency fields creates a new revision and reopens review. Duplicate class records are rejected ignoring case; retired identities remain reserved. Save or discard an existing draft before navigating or editing another record.</w:t>
      </w:r>
    </w:p>
    <w:p>
      <w:r>
        <w:t>Filter by class, resolution or authored vendor/support wording. Next page advances through 250 rows; First page resets. Scroll the command bar horizontally at narrow widths and drag the list divider or scroll inside the details. Authored metadata never changes source-resolution status. Attach approved missing source roots and reassess to obtain declarations. No vendor class, package or DLL is loaded. Full directions: docs/guides/Component_Dependencies_Run_and_Test.txt.</w:t>
      </w:r>
    </w:p>
    <w:p>
      <w:pPr>
        <w:pStyle w:val="Heading1"/>
      </w:pPr>
      <w:r>
        <w:t>Inspect inherited forms and embedded frames</w:t>
      </w:r>
    </w:p>
    <w:p>
      <w:r>
        <w:t>Choose Form inheritance in the upper-right page selector after opening the intended project. Select a component to read its declaration origins and base-to-derived property/event history. Captured base-only components remain visible. Inline frames expand independently for each instance, including inherited frame definitions. Root names can differ between ancestor and descendant.</w:t>
      </w:r>
    </w:p>
    <w:p>
      <w:r>
        <w:t>Each property shows its latest serialized value and every captured earlier value with source, line, SHA256 and generation context. An explicit nil event clears an inherited binding; this does not establish actual event dispatch. Read Resolution gaps for missing or ambiguous bases, orphan or incompatible child overlays, conditional ancestors, partial inputs and cycles. Framework defaults, collection-item merging and runtime changes remain unknown.</w:t>
      </w:r>
    </w:p>
    <w:p>
      <w:r>
        <w:t>Scroll the command bar horizontally to reach the origin selector. Select a component declaration or a specific property/event value, then click Open origin source. A base value opens base source; an override opens its overriding source. Navigation requires attached unchanged text from the captured generation. Detached, changed, binary and outside-root origins are refused explicitly. Binary byte provenance remains visible.</w:t>
      </w:r>
    </w:p>
    <w:p>
      <w:r>
        <w:t>Filter by component path, property, value or gap. Next page advances through 250 rows; First page resets. Drag the list divider or scroll the explanation to read more. Full executable paths, exact steps, fixture examples and elevated developer checks are in docs/guides/Form_Inheritance_Run_and_Test.txt. This inspector combines captured declarations; other views retain their own captured-evidence qualifications. No target form/frame/class is instantiated.</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Inspect database connections and datasets</w:t>
      </w:r>
    </w:p>
    <w:p>
      <w:r>
        <w:t>Open the intended project or saved database and choose Database connections in the upper-right page selector. The inventory lists captured connections, datasets, data sources, transactions, sessions and named connection-definition references. Known component class names and database property signals identify candidates. Pascal-only declarations are also listed when an existing semantic component-field binding does not already represent them. This is captured evidence; DPH never opens the selected application database or loads its drivers.</w:t>
      </w:r>
    </w:p>
    <w:p>
      <w:r>
        <w:t>Select a row to read its role, class, generation, source line and SHA256, masked configuration, captured references and Used by dependents. Scroll the evidence memo vertically. Drag the divider below the list to give the list or memo more space. The kind selector and text filter narrow the inventory; text also searches references and reverse dependencies. First page and Next page show 250 rows at a time. Scroll the toolbar horizontally in a narrow window.</w:t>
      </w:r>
    </w:p>
    <w:p>
      <w:r>
        <w:t>Use the reference selector on the right of the toolbar to choose a Target or Used by entry, then click Follow reference. DPH clears the filters and opens the exact referenced row and page. Unique local, nested and explicitly qualified cross-module references are lexical candidates, not proof of runtime binding. Duplicate names, wrong component roles, missing targets and unsupported expressions remain unresolved. Unqualified references are not guessed across unrelated forms. Explicit nil stays explicit.</w:t>
      </w:r>
    </w:p>
    <w:p>
      <w:r>
        <w:t>ConnectionDefName creates a named definition-reference row with reverse references to its connections. Definition contents, engine/version and environment overrides remain unavailable; no INI, registry or external configuration file is silently read. BDE DatabaseName and session aliases can link to captured declarations. Pascal-only declarations and inherited components do not establish runtime construction, assignments or defaults. An empty result does not prove that the program never uses a database.</w:t>
      </w:r>
    </w:p>
    <w:p>
      <w:r>
        <w:t>Configuration is deliberately masked, including endpoints, database paths, users, passwords, connection strings and unknown parameter values. Only validated driver/protocol/dialect/charset/SSL identifiers, ports and booleans are displayed. Connected=True is a serialized declaration, not evidence of successful connection. Source and cache files still contain original evidence and may contain secrets; the inventory is not a scrubbed database backup. Ask the maintainer for approved environment and definition facts without putting credentials into authored explanations. Full paths, practice steps and developer checks are in docs/guides/Database_Connections_Run_and_Test.txt.</w:t>
      </w:r>
    </w:p>
    <w:p>
      <w:pPr>
        <w:pStyle w:val="Heading1"/>
      </w:pPr>
      <w:r>
        <w:t>Inspect database engines and versions</w:t>
      </w:r>
    </w:p>
    <w:p>
      <w:r>
        <w:t>Open the intended project or cache and choose Database connections from the upper-right selector. Each row now summarizes Engine and Declared version. Select it to read DATABASE ENGINE AND VERSION EVIDENCE at the top of the labeled memo. Drag the divider below the list to resize the evidence area and scroll vertically for the full explanation. Use the text filter to find an engine family such as Firebird, PostgreSQL or SQLite, or a component name. General explanatory text is excluded from matching so it does not make every row match an engine name.</w:t>
      </w:r>
    </w:p>
    <w:p>
      <w:r>
        <w:t>A recognized captured FireDAC DriverID identifies a declared engine family, not a successful runtime connection. Supported IDs include ADS, ASA, DB2, FB, IB, IBLite, Infx, MSAcc, MSSQL, MySQL, Ora, PG, SQLite and Mongo. MySQL-compatible deliberately does not distinguish MySQL from compatible servers. Generic component classes, ODBC, virtual driver names, filenames, ports, SQL dialect and the version of DPH own SQLite store cannot identify the selected project database. Unrecognized drivers remain unknown; contradictory driver declarations remain conflicting.</w:t>
      </w:r>
    </w:p>
    <w:p>
      <w:r>
        <w:t>ServerVersion and DatabaseVersion show only bounded numeric declarations actually captured in properties or parameter entries. The label declared means that DPH has not measured the server. ClientVersion and DriverVersion remain separately named evidence and never become server versions. Conflicting numeric declarations are reported as conflicting. Missing, invalid or sensitive values remain unknown or masked. A deployment can override every design declaration; compatibility and current availability remain unknown.</w:t>
      </w:r>
    </w:p>
    <w:p>
      <w:r>
        <w:t>A dataset, transaction or data source can inherit engine evidence through unique resolved captured connection or dataset links, up to three hops. The memo retains the reference path and original connection source, line, generation and SHA256. Conflicting targets and unresolved paths do not invent an engine. Named external connection definitions stay unknown until their actual configuration is captured; DPH does not inspect registry, INI files or live servers. Follow reference navigates exact captured targets as before. Full executable paths, practice examples and developer checks are in docs/guides/Database_Engines_Run_and_Test.txt.</w:t>
      </w:r>
    </w:p>
    <w:p>
      <w:pPr>
        <w:pStyle w:val="Heading1"/>
      </w:pPr>
      <w:r>
        <w:t>Inspect tables views and schemas</w:t>
      </w:r>
    </w:p>
    <w:p>
      <w:r>
        <w:t>Open the intended project or cache and choose Database schema in the upper-right page selector. A table stores rows, a view names a query result, and a schema qualifies object names. DPH shows what captured source declares or references; it does not connect to a database. Select a row to read its name, evidence state, schema qualifier, captured definition, source line, SHA256 and generation in the labeled evidence memo. Drag the divider below the list and scroll the memo for the full explanation.</w:t>
      </w:r>
    </w:p>
    <w:p>
      <w:r>
        <w:t>Declared header means a supported CREATE TABLE, CREATE VIEW or CREATE SCHEMA header was captured in a referenced SQL resource with balanced parentheses. Its displayed definition omits comments and string literals. This establishes the captured declaration text, not valid body grammar, column or constraint semantics, deployed existence, privileges or database compatibility. Qualifier reference means a qualified object name mentions a schema; it does not establish CREATE SCHEMA. Inferred reference means the existing supported SQL analysis names an object whose table or view identity and definition are unverified. Unsupported statements remain visible as gaps.</w:t>
      </w:r>
    </w:p>
    <w:p>
      <w:r>
        <w:t>Combine the object-kind selector, text filter and evidence-state selector to find a table, view, schema or unsupported statement. Text matches object names, qualifiers and source files. First page and Next page show up to 250 matches. In a narrow window, scroll the command strip sideways to reach the evidence-state selector and Open source. Open source requires attached, unchanged source from the same generation. Detached, changed, historical or outside-project source is refused with an explanation in the memo.</w:t>
      </w:r>
    </w:p>
    <w:p>
      <w:r>
        <w:t>Multiple declarations with the same exact kind and spelling retain every definition and show a count. DPH does not choose a migration winner, merge dialect-specific identifier case, or infer deployment order. Ask the maintainer which approved scripts and migration sequence define the intended system. Empty results can mean missing resources or filters; they do not prove there is no schema. Referenced literal SQL files are discovered through existing project inventory rules. Original source and caches remain unchanged and can contain sensitive data. Full start, practice and developer directions are in docs/guides/Database_Schema_Run_and_Test.txt.</w:t>
      </w:r>
    </w:p>
    <w:p>
      <w:pPr>
        <w:pStyle w:val="Heading1"/>
      </w:pPr>
      <w:r>
        <w:t>Inspect column types defaults and constraints</w:t>
      </w:r>
    </w:p>
    <w:p>
      <w:r>
        <w:t>Choose Database schema in the upper-right page selector after opening the intended project or cache. Select column in the kind selector and declared column in the evidence-state selector. Select a row to read Declared type, Nullability declaration and Default declaration at the top of the labeled memo. Columns are the named fields declared within a table. A data type describes the declared representation of a field; a default is a captured expression used when an applicable database operation omits a value; a constraint states a rule. DPH captures those declarations without executing or validating them against a server.</w:t>
      </w:r>
    </w:p>
    <w:p>
      <w:r>
        <w:t>Explicit NULL and explicit NOT NULL identify clauses actually present in that column entry. Not declared means absent from that entry, not an inferred effective default or permission to store nulls. Primary keys, domains, inherited schema and later migrations can affect effective rules; their implications are not synthesized into explicit declarations. DEFAULT NULL is a default expression and does not become an explicit nullability clause. Numeric, symbolic, simple function and parenthesized defaults retain captured text. String literal contents are replaced by a visible literal omitted marker. Nothing is evaluated.</w:t>
      </w:r>
    </w:p>
    <w:p>
      <w:r>
        <w:t>Inline constraints show captured NOT NULL, NULL, PRIMARY KEY, UNIQUE, REFERENCES and CHECK text, including supported named clauses. Choose constraint and captured constraint to read table-level entries separately. A CHECK expression can contain commas without splitting the table incorrectly. Constraint text does not establish key membership, referenced-column relationships, valid expression semantics or deployed enforcement. Those are separate investigations. Every column retains the original source line, SHA256, generation and exact parent table declaration identity, so duplicate table definitions cannot silently merge their columns.</w:t>
      </w:r>
    </w:p>
    <w:p>
      <w:r>
        <w:t>Filter by table or column name, source file, declared type such as DECIMAL, explicit nullability or inline constraint text. Combine this with kind and state filters. First page and Next page show 250 matches; scroll commands sideways in a narrow window. Unsupported column clauses, missing types/default expressions and conflicting explicit nullability become gaps with the full sanitized entry and an explanation. Later supported entries remain inspectable. Open source uses the existing attached-source hash and generation guards. Read docs/guides/Database_Columns_Run_and_Test.txt for complete directions and controlled practice.</w:t>
      </w:r>
    </w:p>
    <w:p>
      <w:pPr>
        <w:pStyle w:val="Heading1"/>
      </w:pPr>
      <w:r>
        <w:t>Compare screen history and visual changes</w:t>
      </w:r>
    </w:p>
    <w:p>
      <w:r>
        <w:t>Open the intended saved project, then choose Screen history in the upper-right page selector. Import actual PNG evidence on Screenshots first: enter a named contributor and a caption describing the screen, application build and conditions, then click Import an existing PNG screenshot. Each image belongs to the generation displayed at import. Import the earlier image while its matching generation is current; after reassessment import the later image. A caption does not verify an image against source.</w:t>
      </w:r>
    </w:p>
    <w:p>
      <w:r>
        <w:t>Select the Before and After screenshot records by artifact ID, generation and caption. The newest 200 imports are available. Choose Imported images and click Compare. Scroll the command bar horizontally to reach hidden commands. Scroll the page vertically to see the previews, change list and evidence memo. Swap sides exchanges both images and form paths; click Compare again. Changing a selection clears the previous result and discards a late worker response.</w:t>
      </w:r>
    </w:p>
    <w:p>
      <w:r>
        <w:t>The pixel mask uses top-left coordinates and compares exact decoded RGB after transparency is composited on white. Red marks changed overlapping pixels; magenta marks an extent present on only one side; white means unchanged or outside both. The evidence memo reports counts, inclusive changed bounds, original dimensions, contributors, import times, generation IDs and SHA256 fingerprints. Images are fitted only for display; comparison does not resize, align, normalize color profiles or apply a tolerance. Animation, theme, DPI and content changes can affect pixels without proving a defect or its cause.</w:t>
      </w:r>
    </w:p>
    <w:p>
      <w:r>
        <w:t>For captured layouts enter both relative form paths, for example forms/Main.dfm, before clicking Compare. Choose Captured layouts to see blue Before geometry, orange After geometry and their overlay. Both retained captures must use the same project and analysis selection with compatible parser contracts. These drawings are approximate reconstructions, not runtime screenshots. They omit style/custom-paint behavior and show at most 300 component rectangles per pane. Missing property values remain unknown, default or inherited.</w:t>
      </w:r>
    </w:p>
    <w:p>
      <w:r>
        <w:t>Filter the layout change list by component path or serialized values. First page and Next page show 250 rows at a time. Select a row to read added, removed or changed classes/properties and their exact before/after evidence. Renames appear as removal plus addition. Missing historical captures or form paths produce an explicit layout gap while keeping the valid image comparison. Keep necessary releases through Database tools before retention removes a capture. Full executable paths, practice steps and test commands are in docs/guides/Screen_History_Run_and_Test.txt.</w:t>
      </w:r>
    </w:p>
    <w:p>
      <w:pPr>
        <w:pStyle w:val="Heading1"/>
      </w:pPr>
      <w:r>
        <w:t>Record user actions and business purposes</w:t>
      </w:r>
    </w:p>
    <w:p>
      <w:r>
        <w:t>Open the intended project and choose Action purposes in the upper-right page selector. Each captured UI object is a candidate. Select a row to see its caption or event binding, exact source identity and saved review state. A caption or handler name does not establish a business purpose. Not recorded means a knowledgeable contributor has not supplied it.</w:t>
      </w:r>
    </w:p>
    <w:p>
      <w:r>
        <w:t>Scroll the command bar horizontally to reach Edit purpose. Enter a named contributor and the action name, business purpose, numbered user steps, expected outcome and evidence. Also record the screen and user role, trigger, prerequisites and permissions, and failures or recovery. Unknown answers must remain explicit; never enter credentials. The three target identity fields are read only. Duplicate captured paths disable mapping until the ambiguity is resolved.</w:t>
      </w:r>
    </w:p>
    <w:p>
      <w:r>
        <w:t>Click Apply to Knowledge draft, then click Save on Knowledge. Apply alone does not save. Add exact evidence using Knowledge links if needed. Inspect the immutable history, enter a named reviewer and click Verify review only after checking the claims and current evidence. Editing a purpose reopens review. Saving or approving prose does not prove a runtime outcome.</w:t>
      </w:r>
    </w:p>
    <w:p>
      <w:r>
        <w:t>Choose New task for a project procedure with no UI mapping, then complete the same fields, Apply and Save. Use the review-state selector or text filter to find recorded and unrecorded work. First page and Next page show 250 candidates at a time. Open in Knowledge exposes history; Component source and Explain object follow captured evidence when available. Source navigation requires attached unchanged text. Missing saved targets remain historical or unresolved.</w:t>
      </w:r>
    </w:p>
    <w:p>
      <w:r>
        <w:t>Saved purpose records participate in project search, canonical handoffs, exported HTML and the user manual. Review the generation and state before sharing. Full executable paths, a controlled practice example and developer test commands are in docs/guides/Action_Purposes_Run_and_Test.txt.</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command inventory, dynamic control, layout rule and component dependency implementations, 332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be976f2199be2c8e86a0cf8be936d008aa83739cf116c3e81ca68bf3692fc8e7</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98ecd089264555c80cd293fbd5cc70fb6c6d0549e788f3f50313f76653874d3c</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1da99806fa3a71afbfe4c58e8e1bb40041d308e32b42fd06f412723c79f7799b</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8b0a82186f7831bd1c27bf377409ac6e49b77c228666e6087fca8758c85d4cc7</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1bc634e14dbc4d2b2b94d566fcca9eae7911fd1299b70ef7378dcba577c80778</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924538cea0f766a19094f0fd41ff4381094e905f1a2e7db9474e3b6437bad292</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62acdcbefdae51057f277c072c7d820798295da4b99f79a0705df25028389118</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ee53e145dce65e0d58a8e4061547dcbb84f979ccb9f5723a8d243acb334d17f7</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bf8db39796d0f041f6d3d253c1688950feb779e7cf2cd5925f1f8ba5483f638b</w:t>
      </w:r>
    </w:p>
    <w:p>
      <w:pPr>
        <w:keepNext/>
        <w:spacing w:after="0"/>
      </w:pPr>
      <w:r>
        <w:rPr>
          <w:sz w:val="18"/>
        </w:rPr>
        <w:t>DPH.Workspace.DatabaseSchema.pas</w:t>
      </w:r>
    </w:p>
    <w:p>
      <w:pPr>
        <w:spacing w:after="20"/>
      </w:pPr>
      <w:r>
        <w:rPr>
          <w:rFonts w:ascii="Consolas" w:hAnsi="Consolas"/>
          <w:sz w:val="16"/>
        </w:rPr>
        <w:t>8e8e02ab9df85218f1664a13d90ffe189f18cb0d0365df3d253d1e9d4b6ff9cc</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a18895ef7fe86fa7bc3df2b15c7c8cb8f1930455b09a118ad99b9ddf943a7075</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ebdbe1b5d16a07dd0a0222afb55c09337917ea27826df9daa4fb9b99fffa0a79</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