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Guide edition 47</w:t>
      </w:r>
    </w:p>
    <w:p>
      <w:r>
        <w:t>Last changed 16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12</w:t>
      </w:r>
    </w:p>
    <w:p>
      <w:pPr>
        <w:pStyle w:val="TOC2"/>
        <w:tabs>
          <w:tab w:val="right" w:leader="dot" w:pos="9360"/>
        </w:tabs>
      </w:pPr>
      <w:r>
        <w:t>11. Symbols, resolution, control flow, and focused analyses</w:t>
      </w:r>
      <w:r>
        <w:tab/>
        <w:t>13</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17</w:t>
      </w:r>
    </w:p>
    <w:p>
      <w:pPr>
        <w:pStyle w:val="TOC2"/>
        <w:tabs>
          <w:tab w:val="right" w:leader="dot" w:pos="9360"/>
        </w:tabs>
      </w:pPr>
      <w:r>
        <w:t>15. Structured tasks, teaching cards, and personal progress</w:t>
      </w:r>
      <w:r>
        <w:tab/>
        <w:t>18</w:t>
      </w:r>
    </w:p>
    <w:p>
      <w:pPr>
        <w:pStyle w:val="TOC2"/>
        <w:tabs>
          <w:tab w:val="right" w:leader="dot" w:pos="9360"/>
        </w:tabs>
      </w:pPr>
      <w:r>
        <w:t>16. Pictures, artifacts, and anchored callouts</w:t>
      </w:r>
      <w:r>
        <w:tab/>
        <w:t>20</w:t>
      </w:r>
    </w:p>
    <w:p>
      <w:pPr>
        <w:pStyle w:val="TOC2"/>
        <w:tabs>
          <w:tab w:val="right" w:leader="dot" w:pos="9360"/>
        </w:tabs>
      </w:pPr>
      <w:r>
        <w:t>17. Learner projections and native binding</w:t>
      </w:r>
      <w:r>
        <w:tab/>
        <w:t>21</w:t>
      </w:r>
    </w:p>
    <w:p>
      <w:pPr>
        <w:pStyle w:val="TOC1"/>
        <w:tabs>
          <w:tab w:val="right" w:leader="dot" w:pos="9360"/>
        </w:tabs>
      </w:pPr>
      <w:r>
        <w:t>PART 4: Publication, search, and operational safety</w:t>
      </w:r>
      <w:r>
        <w:tab/>
        <w:t>22</w:t>
      </w:r>
    </w:p>
    <w:p>
      <w:pPr>
        <w:pStyle w:val="TOC2"/>
        <w:tabs>
          <w:tab w:val="right" w:leader="dot" w:pos="9360"/>
        </w:tabs>
      </w:pPr>
      <w:r>
        <w:t>18. Publication model and export contract</w:t>
      </w:r>
      <w:r>
        <w:tab/>
        <w:t>22</w:t>
      </w:r>
    </w:p>
    <w:p>
      <w:pPr>
        <w:pStyle w:val="TOC2"/>
        <w:tabs>
          <w:tab w:val="right" w:leader="dot" w:pos="9360"/>
        </w:tabs>
      </w:pPr>
      <w:r>
        <w:t>19. Search, browser navigation, and supporting integrations</w:t>
      </w:r>
      <w:r>
        <w:tab/>
        <w:t>23</w:t>
      </w:r>
    </w:p>
    <w:p>
      <w:pPr>
        <w:pStyle w:val="TOC1"/>
        <w:tabs>
          <w:tab w:val="right" w:leader="dot" w:pos="9360"/>
        </w:tabs>
      </w:pPr>
      <w:r>
        <w:t>PART 5: Building, testing, diagnosis, and release</w:t>
      </w:r>
      <w:r>
        <w:tab/>
        <w:t>24</w:t>
      </w:r>
    </w:p>
    <w:p>
      <w:pPr>
        <w:pStyle w:val="TOC2"/>
        <w:tabs>
          <w:tab w:val="right" w:leader="dot" w:pos="9360"/>
        </w:tabs>
      </w:pPr>
      <w:r>
        <w:t>20. Build environment and source layout</w:t>
      </w:r>
      <w:r>
        <w:tab/>
        <w:t>24</w:t>
      </w:r>
    </w:p>
    <w:p>
      <w:pPr>
        <w:pStyle w:val="TOC2"/>
        <w:tabs>
          <w:tab w:val="right" w:leader="dot" w:pos="9360"/>
        </w:tabs>
      </w:pPr>
      <w:r>
        <w:t>21. Meaningful test selection and execution</w:t>
      </w:r>
      <w:r>
        <w:tab/>
        <w:t>26</w:t>
      </w:r>
    </w:p>
    <w:p>
      <w:pPr>
        <w:pStyle w:val="TOC2"/>
        <w:tabs>
          <w:tab w:val="right" w:leader="dot" w:pos="9360"/>
        </w:tabs>
      </w:pPr>
      <w:r>
        <w:t>22. Package, deploy, and verify extracted copies</w:t>
      </w:r>
      <w:r>
        <w:tab/>
        <w:t>27</w:t>
      </w:r>
    </w:p>
    <w:p>
      <w:pPr>
        <w:pStyle w:val="TOC2"/>
        <w:tabs>
          <w:tab w:val="right" w:leader="dot" w:pos="9360"/>
        </w:tabs>
      </w:pPr>
      <w:r>
        <w:t>23. Diagnose failures at their owning layer</w:t>
      </w:r>
      <w:r>
        <w:tab/>
        <w:t>28</w:t>
      </w:r>
    </w:p>
    <w:p>
      <w:pPr>
        <w:pStyle w:val="TOC2"/>
        <w:tabs>
          <w:tab w:val="right" w:leader="dot" w:pos="9360"/>
        </w:tabs>
      </w:pPr>
      <w:r>
        <w:t>24. Maintain documentation as an engineering artifact</w:t>
      </w:r>
      <w:r>
        <w:tab/>
        <w:t>30</w:t>
      </w:r>
    </w:p>
    <w:p>
      <w:pPr>
        <w:pStyle w:val="TOC1"/>
        <w:tabs>
          <w:tab w:val="right" w:leader="dot" w:pos="9360"/>
        </w:tabs>
      </w:pPr>
      <w:r>
        <w:t>PART 6: Technical reference</w:t>
      </w:r>
      <w:r>
        <w:tab/>
        <w:t>31</w:t>
      </w:r>
    </w:p>
    <w:p>
      <w:pPr>
        <w:pStyle w:val="TOC2"/>
        <w:tabs>
          <w:tab w:val="right" w:leader="dot" w:pos="9360"/>
        </w:tabs>
      </w:pPr>
      <w:r>
        <w:t>25. Source units and public contracts</w:t>
      </w:r>
      <w:r>
        <w:tab/>
        <w:t>31</w:t>
      </w:r>
    </w:p>
    <w:p>
      <w:pPr>
        <w:pStyle w:val="TOC2"/>
        <w:tabs>
          <w:tab w:val="right" w:leader="dot" w:pos="9360"/>
        </w:tabs>
      </w:pPr>
      <w:r>
        <w:t>26. Persisted schema and migration reference</w:t>
      </w:r>
      <w:r>
        <w:tab/>
        <w:t>50</w:t>
      </w:r>
    </w:p>
    <w:p>
      <w:pPr>
        <w:pStyle w:val="TOC2"/>
        <w:tabs>
          <w:tab w:val="right" w:leader="dot" w:pos="9360"/>
        </w:tabs>
      </w:pPr>
      <w:r>
        <w:t>27. Engineering change and release checklists</w:t>
      </w:r>
      <w:r>
        <w:tab/>
        <w:t>57</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source capture;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scans eligible documents only within the selected project directory. It bounds traversal and samples documents and logs before building Learning library entries.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Referenced public HTTPS pages may be contacted only when Read public websites is enabled.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It should not perform every expensive optional report merely because the form has serialized tabs for them. Build deeper projections on demand for their active destination.</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Fit, native-pixel and custom zoom modes change the display transform.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Report generation for hidden specialist tabs should not delay opening the Handoff dossier. Refresh routines must distinguish loading the base view from building graphs, generated form previews, quality reports or screen-history comparisons on demand.</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route title, internal links, text fallback and compact layout. The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experimental desktop package contains the Win32 and Win64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semantic Version value.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function LoadWorkspaceView(AGenerationID: Int64 = 0): 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w:t>
      </w:r>
    </w:p>
    <w:p>
      <w:pPr>
        <w:spacing w:after="40" w:line="247" w:lineRule="auto"/>
      </w:pPr>
      <w:r>
        <w:rPr>
          <w:rFonts w:ascii="Consolas" w:hAnsi="Consolas"/>
          <w:sz w:val="18"/>
        </w:rPr>
        <w:t>procedure LoadView(ADocument: TJSONObject; AScreenshots: TJSONArray = nil);</w:t>
      </w:r>
    </w:p>
    <w:p>
      <w:pPr>
        <w:spacing w:after="40" w:line="247" w:lineRule="auto"/>
      </w:pPr>
      <w:r>
        <w:rPr>
          <w:rFonts w:ascii="Consolas" w:hAnsi="Consolas"/>
          <w:sz w:val="18"/>
        </w:rPr>
        <w:t>procedure LoadKnowledge(ARows: TJSONArray);</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25.39.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25.40.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25.41.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25.42.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25.43.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25.44.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25.45.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25.46.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25.47.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25.48.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25.49.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25.50.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25.51.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25.52.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25.53.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25.54.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47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