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Experimental release 0.8.0.6  |  Guide edition 55</w:t>
      </w:r>
    </w:p>
    <w:p>
      <w:r>
        <w:t>Last changed 16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13</w:t>
      </w:r>
    </w:p>
    <w:p>
      <w:pPr>
        <w:pStyle w:val="TOC2"/>
        <w:tabs>
          <w:tab w:val="right" w:leader="dot" w:pos="9360"/>
        </w:tabs>
      </w:pPr>
      <w:r>
        <w:t>11. Symbols, resolution, control flow, and focused analyses</w:t>
      </w:r>
      <w:r>
        <w:tab/>
        <w:t>14</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19</w:t>
      </w:r>
    </w:p>
    <w:p>
      <w:pPr>
        <w:pStyle w:val="TOC2"/>
        <w:tabs>
          <w:tab w:val="right" w:leader="dot" w:pos="9360"/>
        </w:tabs>
      </w:pPr>
      <w:r>
        <w:t>16. Pictures, artifacts, and anchored callouts</w:t>
      </w:r>
      <w:r>
        <w:tab/>
        <w:t>21</w:t>
      </w:r>
    </w:p>
    <w:p>
      <w:pPr>
        <w:pStyle w:val="TOC2"/>
        <w:tabs>
          <w:tab w:val="right" w:leader="dot" w:pos="9360"/>
        </w:tabs>
      </w:pPr>
      <w:r>
        <w:t>17. Learner projections and native binding</w:t>
      </w:r>
      <w:r>
        <w:tab/>
        <w:t>22</w:t>
      </w:r>
    </w:p>
    <w:p>
      <w:pPr>
        <w:pStyle w:val="TOC1"/>
        <w:tabs>
          <w:tab w:val="right" w:leader="dot" w:pos="9360"/>
        </w:tabs>
      </w:pPr>
      <w:r>
        <w:t>PART 4: Publication, search, and operational safety</w:t>
      </w:r>
      <w:r>
        <w:tab/>
        <w:t>23</w:t>
      </w:r>
    </w:p>
    <w:p>
      <w:pPr>
        <w:pStyle w:val="TOC2"/>
        <w:tabs>
          <w:tab w:val="right" w:leader="dot" w:pos="9360"/>
        </w:tabs>
      </w:pPr>
      <w:r>
        <w:t>18. Publication model and export contract</w:t>
      </w:r>
      <w:r>
        <w:tab/>
        <w:t>23</w:t>
      </w:r>
    </w:p>
    <w:p>
      <w:pPr>
        <w:pStyle w:val="TOC2"/>
        <w:tabs>
          <w:tab w:val="right" w:leader="dot" w:pos="9360"/>
        </w:tabs>
      </w:pPr>
      <w:r>
        <w:t>19. Search, browser navigation, and supporting integrations</w:t>
      </w:r>
      <w:r>
        <w:tab/>
        <w:t>24</w:t>
      </w:r>
    </w:p>
    <w:p>
      <w:pPr>
        <w:pStyle w:val="TOC1"/>
        <w:tabs>
          <w:tab w:val="right" w:leader="dot" w:pos="9360"/>
        </w:tabs>
      </w:pPr>
      <w:r>
        <w:t>PART 5: Building, testing, diagnosis, and release</w:t>
      </w:r>
      <w:r>
        <w:tab/>
        <w:t>25</w:t>
      </w:r>
    </w:p>
    <w:p>
      <w:pPr>
        <w:pStyle w:val="TOC2"/>
        <w:tabs>
          <w:tab w:val="right" w:leader="dot" w:pos="9360"/>
        </w:tabs>
      </w:pPr>
      <w:r>
        <w:t>20. Build environment and source layout</w:t>
      </w:r>
      <w:r>
        <w:tab/>
        <w:t>25</w:t>
      </w:r>
    </w:p>
    <w:p>
      <w:pPr>
        <w:pStyle w:val="TOC2"/>
        <w:tabs>
          <w:tab w:val="right" w:leader="dot" w:pos="9360"/>
        </w:tabs>
      </w:pPr>
      <w:r>
        <w:t>21. Meaningful test selection and execution</w:t>
      </w:r>
      <w:r>
        <w:tab/>
        <w:t>26</w:t>
      </w:r>
    </w:p>
    <w:p>
      <w:pPr>
        <w:pStyle w:val="TOC2"/>
        <w:tabs>
          <w:tab w:val="right" w:leader="dot" w:pos="9360"/>
        </w:tabs>
      </w:pPr>
      <w:r>
        <w:t>22. Package, deploy, and verify extracted copies</w:t>
      </w:r>
      <w:r>
        <w:tab/>
        <w:t>28</w:t>
      </w:r>
    </w:p>
    <w:p>
      <w:pPr>
        <w:pStyle w:val="TOC2"/>
        <w:tabs>
          <w:tab w:val="right" w:leader="dot" w:pos="9360"/>
        </w:tabs>
      </w:pPr>
      <w:r>
        <w:t>23. Diagnose failures at their owning layer</w:t>
      </w:r>
      <w:r>
        <w:tab/>
        <w:t>29</w:t>
      </w:r>
    </w:p>
    <w:p>
      <w:pPr>
        <w:pStyle w:val="TOC2"/>
        <w:tabs>
          <w:tab w:val="right" w:leader="dot" w:pos="9360"/>
        </w:tabs>
      </w:pPr>
      <w:r>
        <w:t>24. Maintain documentation as an engineering artifact</w:t>
      </w:r>
      <w:r>
        <w:tab/>
        <w:t>30</w:t>
      </w:r>
    </w:p>
    <w:p>
      <w:pPr>
        <w:pStyle w:val="TOC1"/>
        <w:tabs>
          <w:tab w:val="right" w:leader="dot" w:pos="9360"/>
        </w:tabs>
      </w:pPr>
      <w:r>
        <w:t>PART 6: Technical reference</w:t>
      </w:r>
      <w:r>
        <w:tab/>
        <w:t>31</w:t>
      </w:r>
    </w:p>
    <w:p>
      <w:pPr>
        <w:pStyle w:val="TOC2"/>
        <w:tabs>
          <w:tab w:val="right" w:leader="dot" w:pos="9360"/>
        </w:tabs>
      </w:pPr>
      <w:r>
        <w:t>25. Source units and public contracts</w:t>
      </w:r>
      <w:r>
        <w:tab/>
        <w:t>31</w:t>
      </w:r>
    </w:p>
    <w:p>
      <w:pPr>
        <w:pStyle w:val="TOC2"/>
        <w:tabs>
          <w:tab w:val="right" w:leader="dot" w:pos="9360"/>
        </w:tabs>
      </w:pPr>
      <w:r>
        <w:t>26. Persisted schema and migration reference</w:t>
      </w:r>
      <w:r>
        <w:tab/>
        <w:t>50</w:t>
      </w:r>
    </w:p>
    <w:p>
      <w:pPr>
        <w:pStyle w:val="TOC2"/>
        <w:tabs>
          <w:tab w:val="right" w:leader="dot" w:pos="9360"/>
        </w:tabs>
      </w:pPr>
      <w:r>
        <w:t>27. Engineering change and release checklists</w:t>
      </w:r>
      <w:r>
        <w:tab/>
        <w:t>58</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closing or changing projects offers Save, Discard, and Cancel before a permanent .dphdb is created.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reads eligible document files directly in the selected project's source directory. It does not recurse into nested docs, help, release, or archive directories for Learning library documents; its limited image traversal is separate. An older saved document list is cleared before display when the discovery version changes, then rebuilt from the selected source directory.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Referenced public HTTPS pages may be contacted only when Read public websites is enabled.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A normal launch opens Getting started without loading the last database; only an explicit selection or .dphdb command-line argument opens a saved capture. If the recorded source entry is still available under the recorded root, the worker verifies its manifest, stale flag, and analyzer/discovery versions in the background; a stale flag, changed fingerprint, or changed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r>
        <w:t>The dossier's no-project state is an HTML document in the existing WebView2 control, with its content kept under help/dossier-start.html. Opening a saved project replaces that introduction with TDPHHandoffDossier's source-backed HTML only after the document and knowledge response are ready; a plain memo is not used as the dossier. ProjectRoot opens an existing SQLite database for read and write because even its first SELECT may need to recover a hot rollback journal left by an interrupted writer. It checks that the database already exists before opening and does not create a new store during this lookup. Keep the database, rollback journal, and managed .views folder together through recovery. Test recovery on a disposable copy of owner data.</w:t>
      </w:r>
    </w:p>
    <w:p>
      <w:pPr>
        <w:pStyle w:val="Heading3"/>
      </w:pPr>
      <w:r>
        <w:t>6.2.1. What the dossier STALE label means</w:t>
      </w:r>
    </w:p>
    <w:p>
      <w:r>
        <w:t>RefreshLearning marks the document model stale when its source is detached. An attached capture with analysis_complete false is PARTIAL, not STALE; analysis_complete is true only when both syntax and semantic passes complete. DPH.Handoff.Dossier renders Static inspection only for every capture because it never executes the selected application. The store separately tracks analysis_stale for source changes, interrupted generations and reassessment. On an explicit saved-project open with source available, the worker now includes that flag in its background rescan decision; a successful current generation clears it. Unsupported syntax, unresolved connections, or missing material may still leave a refreshed capture PARTIAL. A detached saved capture remains marked STALE until its source can be verified.</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The form preview renderer includes the main screen with its initial tab and separates each saved TTabItem into its own design preview. It places a client-aligned panel below earlier top-aligned siblings and respects saved margins and padding before painting descendants. An unselected tab is still part of the saved design; IsSelected must not hide it from reconstruction.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Opening a saved project verifies the cached artifact and compares its captured manifest fingerprint, analyzer and discovery versions, and reading selection with the attached source. A partial capture remains marked stale for interpretation, but that flag alone must not cause an identical expensive scan on every open. Explicit reassessment, changed inputs, versions, or selection start a new scan. Preserve the partial qualification in the learner interface and exported evidence.</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in Native pixels; Fit and custom zoom change the display transform.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Saved open builds the actual Handoff dossier from the captured view and current knowledge, then clears preparation after its browser document loads. It does not substitute a short placeholder for the dossier. Report generation for hidden specialist tabs should not delay this page; graphs, generated form previews, quality reports and screen-history comparisons load when requested. The browser lifecycle must preserve the form's requested visibility after translation handling.</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HTML dossier before and after opening a project, internal links and compact layout. With a separately supplied disposable large reference cache, it also exercises the full saved-project command and measures the time to a rendered dossier. DPH.Tests.Storage verifies that the initial project-root lookup recovers an interrupted SQLite journal. The learning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0.8.0.6 experimental desktop package contains the Win32 and Win64 Release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version value, including four-component experimental versions such as 0.8.0.6.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 AIndexFacts: Boolean = True);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 xml:space="preserve">function LoadWorkspaceView(AGenerationID: Int64 = 0; ASkipGenerationParse: Boolean = False): </w:t>
      </w:r>
    </w:p>
    <w:p>
      <w:pPr>
        <w:spacing w:after="40" w:line="247" w:lineRule="auto"/>
      </w:pPr>
      <w:r>
        <w:rPr>
          <w:rFonts w:ascii="Consolas" w:hAnsi="Consolas"/>
          <w:sz w:val="18"/>
        </w:rPr>
        <w:t>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LearningBrowserDidFinishLoad(Sender: TObject);</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 ADeferInitialViews: Boolean = False);</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25.39.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25.40.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25.41.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25.42.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25.43.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25.44.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25.45.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25.46.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25.47.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25.48.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25.49.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25.50.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25.51.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25.52.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25.53.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25.54.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55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