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Maintain attributed target retention requirements</w:t>
      </w:r>
      <w:r>
        <w:rPr>
          <w:sz w:val="22"/>
        </w:rPr>
        <w:tab/>
        <w:t>30</w:t>
      </w:r>
    </w:p>
    <w:p>
      <w:pPr>
        <w:spacing w:after="0" w:line="240" w:lineRule="auto"/>
        <w:tabs>
          <w:tab w:val="right" w:leader="dot" w:pos="9360"/>
        </w:tabs>
      </w:pPr>
      <w:r>
        <w:rPr>
          <w:sz w:val="22"/>
        </w:rPr>
        <w:t>Maintain target data quality evidence and report imports</w:t>
      </w:r>
      <w:r>
        <w:rPr>
          <w:sz w:val="22"/>
        </w:rPr>
        <w:tab/>
        <w:t>31</w:t>
      </w:r>
    </w:p>
    <w:p>
      <w:pPr>
        <w:spacing w:after="0" w:line="240" w:lineRule="auto"/>
        <w:tabs>
          <w:tab w:val="right" w:leader="dot" w:pos="9360"/>
        </w:tabs>
      </w:pPr>
      <w:r>
        <w:rPr>
          <w:sz w:val="22"/>
        </w:rPr>
        <w:t>Maintain target backup and restoration evidence</w:t>
      </w:r>
      <w:r>
        <w:rPr>
          <w:sz w:val="22"/>
        </w:rPr>
        <w:tab/>
        <w:t>32</w:t>
      </w:r>
    </w:p>
    <w:p>
      <w:pPr>
        <w:spacing w:after="0" w:line="240" w:lineRule="auto"/>
        <w:tabs>
          <w:tab w:val="right" w:leader="dot" w:pos="9360"/>
        </w:tabs>
      </w:pPr>
      <w:r>
        <w:rPr>
          <w:sz w:val="22"/>
        </w:rPr>
        <w:t>Maintain structured business process records</w:t>
      </w:r>
      <w:r>
        <w:rPr>
          <w:sz w:val="22"/>
        </w:rPr>
        <w:tab/>
        <w:t>32</w:t>
      </w:r>
    </w:p>
    <w:p>
      <w:pPr>
        <w:spacing w:after="0" w:line="240" w:lineRule="auto"/>
        <w:tabs>
          <w:tab w:val="right" w:leader="dot" w:pos="9360"/>
        </w:tabs>
      </w:pPr>
      <w:r>
        <w:rPr>
          <w:sz w:val="22"/>
        </w:rPr>
        <w:t>Maintain ordered departmental workflow evidence</w:t>
      </w:r>
      <w:r>
        <w:rPr>
          <w:sz w:val="22"/>
        </w:rPr>
        <w:tab/>
        <w:t>33</w:t>
      </w:r>
    </w:p>
    <w:p>
      <w:pPr>
        <w:spacing w:after="0" w:line="240" w:lineRule="auto"/>
        <w:tabs>
          <w:tab w:val="right" w:leader="dot" w:pos="9360"/>
        </w:tabs>
      </w:pPr>
      <w:r>
        <w:rPr>
          <w:sz w:val="22"/>
        </w:rPr>
        <w:t>Maintain end-to-end process projections</w:t>
      </w:r>
      <w:r>
        <w:rPr>
          <w:sz w:val="22"/>
        </w:rPr>
        <w:tab/>
        <w:t>33</w:t>
      </w:r>
    </w:p>
    <w:p>
      <w:pPr>
        <w:spacing w:after="0" w:line="240" w:lineRule="auto"/>
        <w:tabs>
          <w:tab w:val="right" w:leader="dot" w:pos="9360"/>
        </w:tabs>
      </w:pPr>
      <w:r>
        <w:rPr>
          <w:sz w:val="22"/>
        </w:rPr>
        <w:t>Source and revision evidence</w:t>
      </w:r>
      <w:r>
        <w:rPr>
          <w:sz w:val="22"/>
        </w:rPr>
        <w:tab/>
        <w:t>34</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Maintain attributed target retention requirements</w:t>
      </w:r>
    </w:p>
    <w:p>
      <w:r>
        <w:t>Requirement 05.18 is an attributed manual-capture workflow. TDPHWorkspaceView provides the target-policy template, typed-record recognition, metadata validation and readable evidence. Native DataRetention controls in DPH.UI.Main.fmx provide state/text filtering, bounded 250-row pages, labeled scrollable details, draft preparation and existing Knowledge/link navigation. Controls remain editable in the IDE. No helper unit, analyzer pass or storage migration is introduced.</w:t>
      </w:r>
    </w:p>
    <w:p>
      <w:r>
        <w:t>Structured metadata contains record_type data_retention and a stable GUID policy_id. The existing attributed body remains editable; identity and kind stay protected. TDPHKnowledgeStore.SaveKnowledge validates metadata, rejects the default title, anonymous authors, removed heading, wrong business-rule/maintenance/maintainer scope, duplicate identities, identity changes and discarded structured metadata. Existing optimistic revisions, named review, immutable history and exact rich links remain authoritative. Unknown fields are deliberately permitted and visibly unresolved; policy prose is human evidence, not an inferred legal rule.</w:t>
      </w:r>
    </w:p>
    <w:p>
      <w:r>
        <w:t>The register distinguishes original contributor from current revision editor and shows the named reviewer and explicit link count. Existing Knowledge links support captured semantic routines, evidence and exact procedure-section revisions. Publication includes these requirements and typed identities in maintenance/all-reader handoffs through existing audience and redaction rules. No source application, SQL, deletion or archive job executes. DPH snapshot controls are distinct from the selected application's retention requirements.</w:t>
      </w:r>
    </w:p>
    <w:p>
      <w:r>
        <w:t>Run tools/build-data-retention.cmd elevated. The focused suite uses a real parsed controlled Retention.dpr capture, persisted attributed policies, metadata rejection cases, immutable review/edit history, routine and procedure links, canonical/HTML export and complete bundle validation, native paging/filtering, draft guards and compact rendering. Knowledge, publishing and file-format regressions and tools/build-wp0.cmd cover shared paths. Controlled outputs remain under ignored bin/data-retention-validation; no owner project source or catalog is modified.</w:t>
      </w:r>
    </w:p>
    <w:p>
      <w:pPr>
        <w:pStyle w:val="Heading1"/>
      </w:pPr>
      <w:r>
        <w:t>Maintain target data quality evidence and report imports</w:t>
      </w:r>
    </w:p>
    <w:p>
      <w:r>
        <w:t>TDPHWorkspaceView provides NewDataQualityRule, typed record recognition, metadata validation and attributed details in the existing model unit. Stable record_type data_quality and GUID rule_id identify each rule or imported report. Native controls are serialized in DPH.UI.Main.fmx for IDE editing: state/text filters, 250-row pages, command bars, contributor/context inputs, labeled evidence, New/Open, implementation links and import. Main guards unsaved Knowledge drafts and reuses existing revision, review and rich-link workflows. No helper unit, storage migration or target execution is introduced.</w:t>
      </w:r>
    </w:p>
    <w:p>
      <w:r>
        <w:t>TDPHKnowledgeStore.SaveKnowledge validates quality identity, heading, business-rule kind and project maintenance/maintainer scope, rejects placeholder titles, duplicate identities, changed identities and discarded structured metadata. The body remains editable and exact prior revisions remain in history. ImportDataQualityReport reads only explicitly selected .txt/.log/.json files, checks both before/after read sizes at 32 KiB, requires round-trip UTF-8 and rejects empty/NUL text. It hashes the original bytes and saves literal text with contributor, context, UTC, generation and an explicit unverified-claim qualification through SaveKnowledge.</w:t>
      </w:r>
    </w:p>
    <w:p>
      <w:r>
        <w:t>The import_data_quality worker command opens the selected store using its actual source root, imports on the existing background writer and returns saved Knowledge. Report imports do not execute a parser for report commands, SQL, scripts or target code. Publication uses the normal maintenance scope and escapes report markup in HTML; imported measurements remain unverified even when hash-consistent. Exact section links associate rule, operator procedure and imported report revisions; entity/evidence links preserve captured implementation references. DPH storage integrity and selected-data quality remain distinct.</w:t>
      </w:r>
    </w:p>
    <w:p>
      <w:r>
        <w:t>Run tools/build-data-quality.cmd elevated for real parsing/persistence, identity and invalid-save cases, immutable review/edit history, implementation/procedure/result links, native filtering/paging/draft guards, compact rendering, UTF-8/size/NUL rejection, report hashes, literal HTML, full handoff validation, unchanged source/catalog and actual background import. The worker test releases the test writer before opening the background writer. Knowledge, publishing, retention and actual application/FMX regressions cover shared paths. Fixed ignored bin/data-quality-validation holds controlled fixtures.</w:t>
      </w:r>
    </w:p>
    <w:p>
      <w:pPr>
        <w:pStyle w:val="Heading1"/>
      </w:pPr>
      <w:r>
        <w:t>Maintain target backup and restoration evidence</w:t>
      </w:r>
    </w:p>
    <w:p>
      <w:r>
        <w:t>TDPHWorkspaceView provides the recovery template, typed metadata validation, recognition and readable attribution. record_type target_recovery and a stable GUID plan_id identify each plan independently of its editable body. TDPHKnowledgeStore.SaveKnowledge enforces the first heading, descriptive stable title, project business-rule and maintenance scope, unique identity and existing optimistic revisions. Named reviews and edits preserve exact prior bodies and evidence links; unknowns remain explicit.</w:t>
      </w:r>
    </w:p>
    <w:p>
      <w:r>
        <w:t>TargetRecovery controls in DPH.UI.Main.fmx are serialized for IDE and Object Inspector editing. The register provides state and text filters, 250-row pages, labeled scrolling evidence, New/Open and the existing exact-link editor. It borrows saved Knowledge rows and clears them before replacement; it guards unsaved drafts. No helper unit, migration, runtime control construction or target backup/restore execution is introduced.</w:t>
      </w:r>
    </w:p>
    <w:p>
      <w:r>
        <w:t>The controlled tests parse a real Recovery.dpr and RestoreOrders routine, persist requirements and attributed test measurements, exercise invalid/duplicate/stale saves, immutable review/edit history, source and exact procedure links, canonical and escaped HTML publication, full bundle validation, native editing/navigation/filtering/paging and compact layout. Knowledge, publishing and data-quality regression suites and the actual app/FMX baseline cover shared paths. Run tools/build-target-recovery.cmd elevated. Fixtures remain under fixed ignored bin/target-recovery-validation.</w:t>
      </w:r>
    </w:p>
    <w:p>
      <w:r>
        <w:t>DPH portable database backup and selected-application recovery requirements are separate. Written measurements are contributor claims, and a stored hash does not authenticate their origin or prove recovery. Existing section links can pin a saved evidence revision. The embedded-NUL report rejection fixture uses an ordinary filename, embedded-nul.txt, to avoid Windows device-name behavior while testing the actual NUL bytes.</w:t>
      </w:r>
    </w:p>
    <w:p>
      <w:pPr>
        <w:pStyle w:val="Heading1"/>
      </w:pPr>
      <w:r>
        <w:t>Maintain structured business process records</w:t>
      </w:r>
    </w:p>
    <w:p>
      <w:r>
        <w:t>TDPHWorkspaceView provides the typed business_process object with stable process_id GUID and eight string fields. Validation rejects missing, unexpected, non-text, empty and oversized fields, and an unspecified process name. SaveKnowledge enforces project business-rule maintenance scope, a name matching the stable title, a canonical generated body, unique identity and optimistic revisions. Existing metadata conversion/discard guards, immutable review/edit history and exact evidence links remain authoritative.</w:t>
      </w:r>
    </w:p>
    <w:p>
      <w:r>
        <w:t>BusinessProcess controls and the Process fields editor are serialized in DPH.UI.Main.fmx for IDE and Object Inspector editing. A scrolling native field editor prepares the existing Knowledge draft rather than silently saving. Named contributor, draft guards, editable business fields, protected saved name, separate review, filters, 250-row paging, source explanation navigation and exact section revisions share the existing workflow. No helper unit, schema migration, runtime control construction or target execution is introduced.</w:t>
      </w:r>
    </w:p>
    <w:p>
      <w:r>
        <w:t>Run tools/build-business-process.cmd elevated. The controlled fixture parses Operations.dpr and FulfilOrders, persists and reopens typed fields, tests malformed metadata, duplicate/changed identities, canonical-body divergence, stale saves, named review and immutable history, exact source/procedure links, canonical publication and full bundle validation. Actual native FMX editor/register renders cover normal and compact windows and the last field. Shared knowledge, publishing and data-quality suites and tools/build-wp0.cmd cover regressions. Fixtures use the fixed ignored bin/business-process-validation directory.</w:t>
      </w:r>
    </w:p>
    <w:p>
      <w:r>
        <w:t>Business owner and contributor are distinct. Unknown is an explicit unresolved value rather than inferred business knowledge. Source links establish captured implementation evidence, not that a business step ran. Generic ordered step text in this inventory does not complete the separate departmental workflow or end-to-end process-diagram requirements.</w:t>
      </w:r>
    </w:p>
    <w:p>
      <w:pPr>
        <w:pStyle w:val="Heading1"/>
      </w:pPr>
      <w:r>
        <w:t>Maintain ordered departmental workflow evidence</w:t>
      </w:r>
    </w:p>
    <w:p>
      <w:r>
        <w:t>TDPHWorkspaceView provides departmental_workflow metadata, canonical workflow GUID, five workflow fields and an ordered steps array. Each step has a canonical GUID, department, role, action, inputs, outputs, handoff, exception handling and exception destination. Validation rejects duplicate identities, dangling destinations, unknown shapes, invalid types, empty or oversized fields, unspecified actions, missing steps and exceeded limits. Normal authored order follows the array; exception identity remains stable across reordering.</w:t>
      </w:r>
    </w:p>
    <w:p>
      <w:r>
        <w:t>SaveKnowledge requires project-scoped maintenance business-rule records, stable title matching the structured name, canonical generated body, unique workflow identity and optimistic revisions. Existing immutable save/review history, source invalidation, exact section/source links, named contributors and reviewers, publication and reopening apply. No new schema or helper unit is added. Human workflow content and named review do not establish target execution, business authorization or successful outcomes.</w:t>
      </w:r>
    </w:p>
    <w:p>
      <w:r>
        <w:t>The register and workflow/step fields are native serialized controls in DPH.UI.Main.fmx. New/Edit create a local structured draft; Apply step modifies that draft; Apply workflow prepares Knowledge; Save persists it. Shared nonmodal editor guards prevent saving unapplied fields and bind edits to the original record. New/discarded Knowledge frees its workflow draft. Compact commands scroll horizontally and fields vertically. Array replacement/reordering uses the RTL TJSONArray.SetElements ownership contract while retaining or freeing element values appropriately.</w:t>
      </w:r>
    </w:p>
    <w:p>
      <w:r>
        <w:t>Run tools/build-departmental-workflow.cmd elevated. The real parser, SQLite reopening, revision/review and canonical publication fixture covers ordered Sales/Warehouse steps, roles, handoff, recovery destination, malformed records, invalid identities, dangling/duplicate destinations, bounds, source/procedure links and unchanged source/catalog. Native FMX exercises add/apply/remove protection, reordering, dirty-step and unapplied-workflow guards, editor/register navigation and compact renders. Compatibility covers Knowledge, publishing, data quality and the business-process editor plus the actual application/FMX build. Fixtures remain in the fixed ignored bin/departmental-workflow-validation directory.</w:t>
      </w:r>
    </w:p>
    <w:p>
      <w:r>
        <w:t>This implements departmental workflow capture. End-to-end process diagrams now provide a distinct authored workflow projection; technical graphs retain their source-derived meaning.</w:t>
      </w:r>
    </w:p>
    <w:p>
      <w:pPr>
        <w:pStyle w:val="Heading1"/>
      </w:pPr>
      <w:r>
        <w:t>Maintain end-to-end process projections</w:t>
      </w:r>
    </w:p>
    <w:p>
      <w:r>
        <w:t>TDPHGraphProjection.Workflow derives bounded ordered workflow-step nodes, one End node, explicit unresolved exception destinations, normal handoff edges and stable exception edges from a saved departmental_workflow record. No runtime trace, inferred step or invented process association is added. Links resolve against exact in-scope business-process history revisions and retain state, named reviewer and process identity.</w:t>
      </w:r>
    </w:p>
    <w:p>
      <w:r>
        <w:t>TDPHGraphProjection.WorkflowSVG creates accessible, scrollable SVG with blue normal routes, orange exception gutters, escaped labels, full fields/routes and exact process revision links. The native serialized GraphPaint provides a scrollable fallback, separate arrow routing and step details. GraphCombo has an Object Inspector editable Business process choice, and Departmental workflows has a serialized Process diagram button. Knowledge replacement rebinds workflow rows before graphics refresh to avoid stale pointers.</w:t>
      </w:r>
    </w:p>
    <w:p>
      <w:r>
        <w:t>The version 10 publication model derives process_diagram after audience, source and link scope filtering and redaction. HTML renders it within the workflow article. Canonical knowledge JSON and its existing index retain it. Validator recomputes the projection and rejects divergence or missing diagrams in current-template workflow records. Localization removes its containing knowledge records, so no unlocalized process projection survives a localized authored-body-only view.</w:t>
      </w:r>
    </w:p>
    <w:p>
      <w:r>
        <w:t>Run tools/build-process-diagram.cmd elevated. Real parser/SQLite capture and reopening, exact reviewed process history links, canonical HTML and full bundle validation accompany native FMX navigation and graph/step details. Tests cover reordered stable exception destinations, self-return, End, Unknown, escaped script-like labels, all 64 steps and rejected overflow, audience scope, draft protection and replaced/cleared knowledge. Regression suites cover existing Knowledge, publication, workflow and technical graphs plus the actual application/FMX build. Fixtures use the fixed ignored bin/process-diagram-validation folder.</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8e4a430daf51b5f1d5c0e4e8a939862dd8b80123bd7333597b949ad054f85f06</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ac49dff7e08016db2f8c720de3bac0749e52de82ccc4e7aa2b328f8032ceebe4</w:t>
      </w:r>
    </w:p>
    <w:p>
      <w:pPr>
        <w:keepNext/>
        <w:spacing w:after="0"/>
      </w:pPr>
      <w:r>
        <w:rPr>
          <w:sz w:val="18"/>
        </w:rPr>
        <w:t>DPH.Publish.Model.pas</w:t>
      </w:r>
    </w:p>
    <w:p>
      <w:pPr>
        <w:spacing w:after="20"/>
      </w:pPr>
      <w:r>
        <w:rPr>
          <w:rFonts w:ascii="Consolas" w:hAnsi="Consolas"/>
          <w:sz w:val="16"/>
        </w:rPr>
        <w:t>7068252c58364ae224e263ecc5fbf83bdb406943979f3ad752f4ca9f877de9d2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ec6318b2608e97063f8f3ad7e404ededd1dc017c67540870b3c0e43ef286c852</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41b056a1db563ef504731a7fa647e8c45aa5c9334d5ce0805799b94998fb4be4</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1d2985c6fa30e72a7ddb7c55f41a2a774e6e1517d5056507efb2666f18b47804</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be03c357c96bbdb828d63c347a6bd7d5bc5ba3ecbf161cf67853299a4aca23b5</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a383ef8a6bc9a655629d8a19f73dd6dbfad80072b3430f42e9dfe92284d1a451</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