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Purpose and evidence</w:t>
      </w:r>
      <w:r>
        <w:rPr>
          <w:sz w:val="22"/>
        </w:rPr>
        <w:tab/>
        <w:t>4</w:t>
      </w:r>
    </w:p>
    <w:p>
      <w:pPr>
        <w:spacing w:after="0" w:line="240" w:lineRule="auto"/>
        <w:tabs>
          <w:tab w:val="right" w:leader="dot" w:pos="9360"/>
        </w:tabs>
      </w:pPr>
      <w:r>
        <w:rPr>
          <w:sz w:val="22"/>
        </w:rPr>
        <w:t>Start DPH</w:t>
      </w:r>
      <w:r>
        <w:rPr>
          <w:sz w:val="22"/>
        </w:rPr>
        <w:tab/>
        <w:t>4</w:t>
      </w:r>
    </w:p>
    <w:p>
      <w:pPr>
        <w:spacing w:after="0" w:line="240" w:lineRule="auto"/>
        <w:tabs>
          <w:tab w:val="right" w:leader="dot" w:pos="9360"/>
        </w:tabs>
      </w:pPr>
      <w:r>
        <w:rPr>
          <w:sz w:val="22"/>
        </w:rPr>
        <w:t>Run the application and its checks</w:t>
      </w:r>
      <w:r>
        <w:rPr>
          <w:sz w:val="22"/>
        </w:rPr>
        <w:tab/>
        <w:t>4</w:t>
      </w:r>
    </w:p>
    <w:p>
      <w:pPr>
        <w:spacing w:after="0" w:line="240" w:lineRule="auto"/>
        <w:tabs>
          <w:tab w:val="right" w:leader="dot" w:pos="9360"/>
        </w:tabs>
      </w:pPr>
      <w:r>
        <w:rPr>
          <w:sz w:val="22"/>
        </w:rPr>
        <w:t>Attach a source project</w:t>
      </w:r>
      <w:r>
        <w:rPr>
          <w:sz w:val="22"/>
        </w:rPr>
        <w:tab/>
        <w:t>5</w:t>
      </w:r>
    </w:p>
    <w:p>
      <w:pPr>
        <w:spacing w:after="0" w:line="240" w:lineRule="auto"/>
        <w:tabs>
          <w:tab w:val="right" w:leader="dot" w:pos="9360"/>
        </w:tabs>
      </w:pPr>
      <w:r>
        <w:rPr>
          <w:sz w:val="22"/>
        </w:rPr>
        <w:t>Open cached work</w:t>
      </w:r>
      <w:r>
        <w:rPr>
          <w:sz w:val="22"/>
        </w:rPr>
        <w:tab/>
        <w:t>5</w:t>
      </w:r>
    </w:p>
    <w:p>
      <w:pPr>
        <w:spacing w:after="0" w:line="240" w:lineRule="auto"/>
        <w:tabs>
          <w:tab w:val="right" w:leader="dot" w:pos="9360"/>
        </w:tabs>
      </w:pPr>
      <w:r>
        <w:rPr>
          <w:sz w:val="22"/>
        </w:rPr>
        <w:t>Manage the project catalog</w:t>
      </w:r>
      <w:r>
        <w:rPr>
          <w:sz w:val="22"/>
        </w:rPr>
        <w:tab/>
        <w:t>6</w:t>
      </w:r>
    </w:p>
    <w:p>
      <w:pPr>
        <w:spacing w:after="0" w:line="240" w:lineRule="auto"/>
        <w:tabs>
          <w:tab w:val="right" w:leader="dot" w:pos="9360"/>
        </w:tabs>
      </w:pPr>
      <w:r>
        <w:rPr>
          <w:sz w:val="22"/>
        </w:rPr>
        <w:t>Record the selected application profile</w:t>
      </w:r>
      <w:r>
        <w:rPr>
          <w:sz w:val="22"/>
        </w:rPr>
        <w:tab/>
        <w:t>6</w:t>
      </w:r>
    </w:p>
    <w:p>
      <w:pPr>
        <w:spacing w:after="0" w:line="240" w:lineRule="auto"/>
        <w:tabs>
          <w:tab w:val="right" w:leader="dot" w:pos="9360"/>
        </w:tabs>
      </w:pPr>
      <w:r>
        <w:rPr>
          <w:sz w:val="22"/>
        </w:rPr>
        <w:t>Define and review business terms</w:t>
      </w:r>
      <w:r>
        <w:rPr>
          <w:sz w:val="22"/>
        </w:rPr>
        <w:tab/>
        <w:t>6</w:t>
      </w:r>
    </w:p>
    <w:p>
      <w:pPr>
        <w:spacing w:after="0" w:line="240" w:lineRule="auto"/>
        <w:tabs>
          <w:tab w:val="right" w:leader="dot" w:pos="9360"/>
        </w:tabs>
      </w:pPr>
      <w:r>
        <w:rPr>
          <w:sz w:val="22"/>
        </w:rPr>
        <w:t>Learn the selected project</w:t>
      </w:r>
      <w:r>
        <w:rPr>
          <w:sz w:val="22"/>
        </w:rPr>
        <w:tab/>
        <w:t>7</w:t>
      </w:r>
    </w:p>
    <w:p>
      <w:pPr>
        <w:spacing w:after="0" w:line="240" w:lineRule="auto"/>
        <w:tabs>
          <w:tab w:val="right" w:leader="dot" w:pos="9360"/>
        </w:tabs>
      </w:pPr>
      <w:r>
        <w:rPr>
          <w:sz w:val="22"/>
        </w:rPr>
        <w:t>Measure coverage before relying on an explanation</w:t>
      </w:r>
      <w:r>
        <w:rPr>
          <w:sz w:val="22"/>
        </w:rPr>
        <w:tab/>
        <w:t>9</w:t>
      </w:r>
    </w:p>
    <w:p>
      <w:pPr>
        <w:spacing w:after="0" w:line="240" w:lineRule="auto"/>
        <w:tabs>
          <w:tab w:val="right" w:leader="dot" w:pos="9360"/>
        </w:tabs>
      </w:pPr>
      <w:r>
        <w:rPr>
          <w:sz w:val="22"/>
        </w:rPr>
        <w:t>Explore and search</w:t>
      </w:r>
      <w:r>
        <w:rPr>
          <w:sz w:val="22"/>
        </w:rPr>
        <w:tab/>
        <w:t>9</w:t>
      </w:r>
    </w:p>
    <w:p>
      <w:pPr>
        <w:spacing w:after="0" w:line="240" w:lineRule="auto"/>
        <w:tabs>
          <w:tab w:val="right" w:leader="dot" w:pos="9360"/>
        </w:tabs>
      </w:pPr>
      <w:r>
        <w:rPr>
          <w:sz w:val="22"/>
        </w:rPr>
        <w:t>Search across the captured project</w:t>
      </w:r>
      <w:r>
        <w:rPr>
          <w:sz w:val="22"/>
        </w:rPr>
        <w:tab/>
        <w:t>9</w:t>
      </w:r>
    </w:p>
    <w:p>
      <w:pPr>
        <w:spacing w:after="0" w:line="240" w:lineRule="auto"/>
        <w:tabs>
          <w:tab w:val="right" w:leader="dot" w:pos="9360"/>
        </w:tabs>
      </w:pPr>
      <w:r>
        <w:rPr>
          <w:sz w:val="22"/>
        </w:rPr>
        <w:t>Read source and graph evidence</w:t>
      </w:r>
      <w:r>
        <w:rPr>
          <w:sz w:val="22"/>
        </w:rPr>
        <w:tab/>
        <w:t>9</w:t>
      </w:r>
    </w:p>
    <w:p>
      <w:pPr>
        <w:spacing w:after="0" w:line="240" w:lineRule="auto"/>
        <w:tabs>
          <w:tab w:val="right" w:leader="dot" w:pos="9360"/>
        </w:tabs>
      </w:pPr>
      <w:r>
        <w:rPr>
          <w:sz w:val="22"/>
        </w:rPr>
        <w:t>Investigate source quality candidates</w:t>
      </w:r>
      <w:r>
        <w:rPr>
          <w:sz w:val="22"/>
        </w:rPr>
        <w:tab/>
        <w:t>10</w:t>
      </w:r>
    </w:p>
    <w:p>
      <w:pPr>
        <w:spacing w:after="0" w:line="240" w:lineRule="auto"/>
        <w:tabs>
          <w:tab w:val="right" w:leader="dot" w:pos="9360"/>
        </w:tabs>
      </w:pPr>
      <w:r>
        <w:rPr>
          <w:sz w:val="22"/>
        </w:rPr>
        <w:t>Compare captured revisions</w:t>
      </w:r>
      <w:r>
        <w:rPr>
          <w:sz w:val="22"/>
        </w:rPr>
        <w:tab/>
        <w:t>10</w:t>
      </w:r>
    </w:p>
    <w:p>
      <w:pPr>
        <w:spacing w:after="0" w:line="240" w:lineRule="auto"/>
        <w:tabs>
          <w:tab w:val="right" w:leader="dot" w:pos="9360"/>
        </w:tabs>
      </w:pPr>
      <w:r>
        <w:rPr>
          <w:sz w:val="22"/>
        </w:rPr>
        <w:t>Choose graph scope and grouping</w:t>
      </w:r>
      <w:r>
        <w:rPr>
          <w:sz w:val="22"/>
        </w:rPr>
        <w:tab/>
        <w:t>11</w:t>
      </w:r>
    </w:p>
    <w:p>
      <w:pPr>
        <w:spacing w:after="0" w:line="240" w:lineRule="auto"/>
        <w:tabs>
          <w:tab w:val="right" w:leader="dot" w:pos="9360"/>
        </w:tabs>
      </w:pPr>
      <w:r>
        <w:rPr>
          <w:sz w:val="22"/>
        </w:rPr>
        <w:t>Read a routine as a beginner</w:t>
      </w:r>
      <w:r>
        <w:rPr>
          <w:sz w:val="22"/>
        </w:rPr>
        <w:tab/>
        <w:t>11</w:t>
      </w:r>
    </w:p>
    <w:p>
      <w:pPr>
        <w:spacing w:after="0" w:line="240" w:lineRule="auto"/>
        <w:tabs>
          <w:tab w:val="right" w:leader="dot" w:pos="9360"/>
        </w:tabs>
      </w:pPr>
      <w:r>
        <w:rPr>
          <w:sz w:val="22"/>
        </w:rPr>
        <w:t>Inspect screens</w:t>
      </w:r>
      <w:r>
        <w:rPr>
          <w:sz w:val="22"/>
        </w:rPr>
        <w:tab/>
        <w:t>11</w:t>
      </w:r>
    </w:p>
    <w:p>
      <w:pPr>
        <w:spacing w:after="0" w:line="240" w:lineRule="auto"/>
        <w:tabs>
          <w:tab w:val="right" w:leader="dot" w:pos="9360"/>
        </w:tabs>
      </w:pPr>
      <w:r>
        <w:rPr>
          <w:sz w:val="22"/>
        </w:rPr>
        <w:t>Inspect keyboard shortcuts and focus order</w:t>
      </w:r>
      <w:r>
        <w:rPr>
          <w:sz w:val="22"/>
        </w:rPr>
        <w:tab/>
        <w:t>12</w:t>
      </w:r>
    </w:p>
    <w:p>
      <w:pPr>
        <w:spacing w:after="0" w:line="240" w:lineRule="auto"/>
        <w:tabs>
          <w:tab w:val="right" w:leader="dot" w:pos="9360"/>
        </w:tabs>
      </w:pPr>
      <w:r>
        <w:rPr>
          <w:sz w:val="22"/>
        </w:rPr>
        <w:t>Inspect menus context menus and toolbars</w:t>
      </w:r>
      <w:r>
        <w:rPr>
          <w:sz w:val="22"/>
        </w:rPr>
        <w:tab/>
        <w:t>12</w:t>
      </w:r>
    </w:p>
    <w:p>
      <w:pPr>
        <w:spacing w:after="0" w:line="240" w:lineRule="auto"/>
        <w:tabs>
          <w:tab w:val="right" w:leader="dot" w:pos="9360"/>
        </w:tabs>
      </w:pPr>
      <w:r>
        <w:rPr>
          <w:sz w:val="22"/>
        </w:rPr>
        <w:t>Inspect dynamic and runtime created controls</w:t>
      </w:r>
      <w:r>
        <w:rPr>
          <w:sz w:val="22"/>
        </w:rPr>
        <w:tab/>
        <w:t>13</w:t>
      </w:r>
    </w:p>
    <w:p>
      <w:pPr>
        <w:spacing w:after="0" w:line="240" w:lineRule="auto"/>
        <w:tabs>
          <w:tab w:val="right" w:leader="dot" w:pos="9360"/>
        </w:tabs>
      </w:pPr>
      <w:r>
        <w:rPr>
          <w:sz w:val="22"/>
        </w:rPr>
        <w:t>Inspect responsive layouts anchors and alignments</w:t>
      </w:r>
      <w:r>
        <w:rPr>
          <w:sz w:val="22"/>
        </w:rPr>
        <w:tab/>
        <w:t>13</w:t>
      </w:r>
    </w:p>
    <w:p>
      <w:pPr>
        <w:spacing w:after="0" w:line="240" w:lineRule="auto"/>
        <w:tabs>
          <w:tab w:val="right" w:leader="dot" w:pos="9360"/>
        </w:tabs>
      </w:pPr>
      <w:r>
        <w:rPr>
          <w:sz w:val="22"/>
        </w:rPr>
        <w:t>Inspect component dependencies and support records</w:t>
      </w:r>
      <w:r>
        <w:rPr>
          <w:sz w:val="22"/>
        </w:rPr>
        <w:tab/>
        <w:t>14</w:t>
      </w:r>
    </w:p>
    <w:p>
      <w:pPr>
        <w:spacing w:after="0" w:line="240" w:lineRule="auto"/>
        <w:tabs>
          <w:tab w:val="right" w:leader="dot" w:pos="9360"/>
        </w:tabs>
      </w:pPr>
      <w:r>
        <w:rPr>
          <w:sz w:val="22"/>
        </w:rPr>
        <w:t>Inspect inherited forms and embedded frames</w:t>
      </w:r>
      <w:r>
        <w:rPr>
          <w:sz w:val="22"/>
        </w:rPr>
        <w:tab/>
        <w:t>14</w:t>
      </w:r>
    </w:p>
    <w:p>
      <w:pPr>
        <w:spacing w:after="0" w:line="240" w:lineRule="auto"/>
        <w:tabs>
          <w:tab w:val="right" w:leader="dot" w:pos="9360"/>
        </w:tabs>
      </w:pPr>
      <w:r>
        <w:rPr>
          <w:sz w:val="22"/>
        </w:rPr>
        <w:t>Import actual screenshot evidence</w:t>
      </w:r>
      <w:r>
        <w:rPr>
          <w:sz w:val="22"/>
        </w:rPr>
        <w:tab/>
        <w:t>15</w:t>
      </w:r>
    </w:p>
    <w:p>
      <w:pPr>
        <w:spacing w:after="0" w:line="240" w:lineRule="auto"/>
        <w:tabs>
          <w:tab w:val="right" w:leader="dot" w:pos="9360"/>
        </w:tabs>
      </w:pPr>
      <w:r>
        <w:rPr>
          <w:sz w:val="22"/>
        </w:rPr>
        <w:t>Inspect database connections and datasets</w:t>
      </w:r>
      <w:r>
        <w:rPr>
          <w:sz w:val="22"/>
        </w:rPr>
        <w:tab/>
        <w:t>15</w:t>
      </w:r>
    </w:p>
    <w:p>
      <w:pPr>
        <w:spacing w:after="0" w:line="240" w:lineRule="auto"/>
        <w:tabs>
          <w:tab w:val="right" w:leader="dot" w:pos="9360"/>
        </w:tabs>
      </w:pPr>
      <w:r>
        <w:rPr>
          <w:sz w:val="22"/>
        </w:rPr>
        <w:t>Inspect database engines and versions</w:t>
      </w:r>
      <w:r>
        <w:rPr>
          <w:sz w:val="22"/>
        </w:rPr>
        <w:tab/>
        <w:t>16</w:t>
      </w:r>
    </w:p>
    <w:p>
      <w:pPr>
        <w:spacing w:after="0" w:line="240" w:lineRule="auto"/>
        <w:tabs>
          <w:tab w:val="right" w:leader="dot" w:pos="9360"/>
        </w:tabs>
      </w:pPr>
      <w:r>
        <w:rPr>
          <w:sz w:val="22"/>
        </w:rPr>
        <w:t>Inspect tables views and schemas</w:t>
      </w:r>
      <w:r>
        <w:rPr>
          <w:sz w:val="22"/>
        </w:rPr>
        <w:tab/>
        <w:t>16</w:t>
      </w:r>
    </w:p>
    <w:p>
      <w:pPr>
        <w:pageBreakBefore/>
        <w:spacing w:after="0" w:line="240" w:lineRule="auto"/>
        <w:tabs>
          <w:tab w:val="right" w:leader="dot" w:pos="9360"/>
        </w:tabs>
      </w:pPr>
      <w:r>
        <w:rPr>
          <w:sz w:val="22"/>
        </w:rPr>
        <w:t>Inspect column types defaults and constraints</w:t>
      </w:r>
      <w:r>
        <w:rPr>
          <w:sz w:val="22"/>
        </w:rPr>
        <w:tab/>
        <w:t>17</w:t>
      </w:r>
    </w:p>
    <w:p>
      <w:pPr>
        <w:spacing w:after="0" w:line="240" w:lineRule="auto"/>
        <w:tabs>
          <w:tab w:val="right" w:leader="dot" w:pos="9360"/>
        </w:tabs>
      </w:pPr>
      <w:r>
        <w:rPr>
          <w:sz w:val="22"/>
        </w:rPr>
        <w:t>Inspect primary foreign and unique keys</w:t>
      </w:r>
      <w:r>
        <w:rPr>
          <w:sz w:val="22"/>
        </w:rPr>
        <w:tab/>
        <w:t>18</w:t>
      </w:r>
    </w:p>
    <w:p>
      <w:pPr>
        <w:spacing w:after="0" w:line="240" w:lineRule="auto"/>
        <w:tabs>
          <w:tab w:val="right" w:leader="dot" w:pos="9360"/>
        </w:tabs>
      </w:pPr>
      <w:r>
        <w:rPr>
          <w:sz w:val="22"/>
        </w:rPr>
        <w:t>Inspect indexes and performance evidence</w:t>
      </w:r>
      <w:r>
        <w:rPr>
          <w:sz w:val="22"/>
        </w:rPr>
        <w:tab/>
        <w:t>18</w:t>
      </w:r>
    </w:p>
    <w:p>
      <w:pPr>
        <w:spacing w:after="0" w:line="240" w:lineRule="auto"/>
        <w:tabs>
          <w:tab w:val="right" w:leader="dot" w:pos="9360"/>
        </w:tabs>
      </w:pPr>
      <w:r>
        <w:rPr>
          <w:sz w:val="22"/>
        </w:rPr>
        <w:t>Inspect stored procedures functions and triggers</w:t>
      </w:r>
      <w:r>
        <w:rPr>
          <w:sz w:val="22"/>
        </w:rPr>
        <w:tab/>
        <w:t>19</w:t>
      </w:r>
    </w:p>
    <w:p>
      <w:pPr>
        <w:spacing w:after="0" w:line="240" w:lineRule="auto"/>
        <w:tabs>
          <w:tab w:val="right" w:leader="dot" w:pos="9360"/>
        </w:tabs>
      </w:pPr>
      <w:r>
        <w:rPr>
          <w:sz w:val="22"/>
        </w:rPr>
        <w:t>Inspect entity relationship diagrams</w:t>
      </w:r>
      <w:r>
        <w:rPr>
          <w:sz w:val="22"/>
        </w:rPr>
        <w:tab/>
        <w:t>20</w:t>
      </w:r>
    </w:p>
    <w:p>
      <w:pPr>
        <w:spacing w:after="0" w:line="240" w:lineRule="auto"/>
        <w:tabs>
          <w:tab w:val="right" w:leader="dot" w:pos="9360"/>
        </w:tabs>
      </w:pPr>
      <w:r>
        <w:rPr>
          <w:sz w:val="22"/>
        </w:rPr>
        <w:t>Define table and column business meanings</w:t>
      </w:r>
      <w:r>
        <w:rPr>
          <w:sz w:val="22"/>
        </w:rPr>
        <w:tab/>
        <w:t>21</w:t>
      </w:r>
    </w:p>
    <w:p>
      <w:pPr>
        <w:spacing w:after="0" w:line="240" w:lineRule="auto"/>
        <w:tabs>
          <w:tab w:val="right" w:leader="dot" w:pos="9360"/>
        </w:tabs>
      </w:pPr>
      <w:r>
        <w:rPr>
          <w:sz w:val="22"/>
        </w:rPr>
        <w:t>Follow dataset and screen field bindings</w:t>
      </w:r>
      <w:r>
        <w:rPr>
          <w:sz w:val="22"/>
        </w:rPr>
        <w:tab/>
        <w:t>22</w:t>
      </w:r>
    </w:p>
    <w:p>
      <w:pPr>
        <w:spacing w:after="0" w:line="240" w:lineRule="auto"/>
        <w:tabs>
          <w:tab w:val="right" w:leader="dot" w:pos="9360"/>
        </w:tabs>
      </w:pPr>
      <w:r>
        <w:rPr>
          <w:sz w:val="22"/>
        </w:rPr>
        <w:t>Inspect database read and write operations</w:t>
      </w:r>
      <w:r>
        <w:rPr>
          <w:sz w:val="22"/>
        </w:rPr>
        <w:tab/>
        <w:t>22</w:t>
      </w:r>
    </w:p>
    <w:p>
      <w:pPr>
        <w:spacing w:after="0" w:line="240" w:lineRule="auto"/>
        <w:tabs>
          <w:tab w:val="right" w:leader="dot" w:pos="9360"/>
        </w:tabs>
      </w:pPr>
      <w:r>
        <w:rPr>
          <w:sz w:val="22"/>
        </w:rPr>
        <w:t>Inspect transaction and rollback paths</w:t>
      </w:r>
      <w:r>
        <w:rPr>
          <w:sz w:val="22"/>
        </w:rPr>
        <w:tab/>
        <w:t>23</w:t>
      </w:r>
    </w:p>
    <w:p>
      <w:pPr>
        <w:spacing w:after="0" w:line="240" w:lineRule="auto"/>
        <w:tabs>
          <w:tab w:val="right" w:leader="dot" w:pos="9360"/>
        </w:tabs>
      </w:pPr>
      <w:r>
        <w:rPr>
          <w:sz w:val="22"/>
        </w:rPr>
        <w:t>Inspect field validation and transformations</w:t>
      </w:r>
      <w:r>
        <w:rPr>
          <w:sz w:val="22"/>
        </w:rPr>
        <w:tab/>
        <w:t>24</w:t>
      </w:r>
    </w:p>
    <w:p>
      <w:pPr>
        <w:spacing w:after="0" w:line="240" w:lineRule="auto"/>
        <w:tabs>
          <w:tab w:val="right" w:leader="dot" w:pos="9360"/>
        </w:tabs>
      </w:pPr>
      <w:r>
        <w:rPr>
          <w:sz w:val="22"/>
        </w:rPr>
        <w:t>Trace inputs and destination candidates</w:t>
      </w:r>
      <w:r>
        <w:rPr>
          <w:sz w:val="22"/>
        </w:rPr>
        <w:tab/>
        <w:t>24</w:t>
      </w:r>
    </w:p>
    <w:p>
      <w:pPr>
        <w:spacing w:after="0" w:line="240" w:lineRule="auto"/>
        <w:tabs>
          <w:tab w:val="right" w:leader="dot" w:pos="9360"/>
        </w:tabs>
      </w:pPr>
      <w:r>
        <w:rPr>
          <w:sz w:val="22"/>
        </w:rPr>
        <w:t>Inspect migration and schema-version history</w:t>
      </w:r>
      <w:r>
        <w:rPr>
          <w:sz w:val="22"/>
        </w:rPr>
        <w:tab/>
        <w:t>25</w:t>
      </w:r>
    </w:p>
    <w:p>
      <w:pPr>
        <w:spacing w:after="0" w:line="240" w:lineRule="auto"/>
        <w:tabs>
          <w:tab w:val="right" w:leader="dot" w:pos="9360"/>
        </w:tabs>
      </w:pPr>
      <w:r>
        <w:rPr>
          <w:sz w:val="22"/>
        </w:rPr>
        <w:t>Inspect import and export file formats</w:t>
      </w:r>
      <w:r>
        <w:rPr>
          <w:sz w:val="22"/>
        </w:rPr>
        <w:tab/>
        <w:t>26</w:t>
      </w:r>
    </w:p>
    <w:p>
      <w:pPr>
        <w:spacing w:after="0" w:line="240" w:lineRule="auto"/>
        <w:tabs>
          <w:tab w:val="right" w:leader="dot" w:pos="9360"/>
        </w:tabs>
      </w:pPr>
      <w:r>
        <w:rPr>
          <w:sz w:val="22"/>
        </w:rPr>
        <w:t>Record target data retention and archival policies</w:t>
      </w:r>
      <w:r>
        <w:rPr>
          <w:sz w:val="22"/>
        </w:rPr>
        <w:tab/>
        <w:t>26</w:t>
      </w:r>
    </w:p>
    <w:p>
      <w:pPr>
        <w:spacing w:after="0" w:line="240" w:lineRule="auto"/>
        <w:tabs>
          <w:tab w:val="right" w:leader="dot" w:pos="9360"/>
        </w:tabs>
      </w:pPr>
      <w:r>
        <w:rPr>
          <w:sz w:val="22"/>
        </w:rPr>
        <w:t>Record target data quality rules and check reports</w:t>
      </w:r>
      <w:r>
        <w:rPr>
          <w:sz w:val="22"/>
        </w:rPr>
        <w:tab/>
        <w:t>27</w:t>
      </w:r>
    </w:p>
    <w:p>
      <w:pPr>
        <w:spacing w:after="0" w:line="240" w:lineRule="auto"/>
        <w:tabs>
          <w:tab w:val="right" w:leader="dot" w:pos="9360"/>
        </w:tabs>
      </w:pPr>
      <w:r>
        <w:rPr>
          <w:sz w:val="22"/>
        </w:rPr>
        <w:t>Record backup and restoration requirements</w:t>
      </w:r>
      <w:r>
        <w:rPr>
          <w:sz w:val="22"/>
        </w:rPr>
        <w:tab/>
        <w:t>28</w:t>
      </w:r>
    </w:p>
    <w:p>
      <w:pPr>
        <w:spacing w:after="0" w:line="240" w:lineRule="auto"/>
        <w:tabs>
          <w:tab w:val="right" w:leader="dot" w:pos="9360"/>
        </w:tabs>
      </w:pPr>
      <w:r>
        <w:rPr>
          <w:sz w:val="22"/>
        </w:rPr>
        <w:t>Compare screen history and visual changes</w:t>
      </w:r>
      <w:r>
        <w:rPr>
          <w:sz w:val="22"/>
        </w:rPr>
        <w:tab/>
        <w:t>28</w:t>
      </w:r>
    </w:p>
    <w:p>
      <w:pPr>
        <w:spacing w:after="0" w:line="240" w:lineRule="auto"/>
        <w:tabs>
          <w:tab w:val="right" w:leader="dot" w:pos="9360"/>
        </w:tabs>
      </w:pPr>
      <w:r>
        <w:rPr>
          <w:sz w:val="22"/>
        </w:rPr>
        <w:t>Record user actions and business purposes</w:t>
      </w:r>
      <w:r>
        <w:rPr>
          <w:sz w:val="22"/>
        </w:rPr>
        <w:tab/>
        <w:t>29</w:t>
      </w:r>
    </w:p>
    <w:p>
      <w:pPr>
        <w:spacing w:after="0" w:line="240" w:lineRule="auto"/>
        <w:tabs>
          <w:tab w:val="right" w:leader="dot" w:pos="9360"/>
        </w:tabs>
      </w:pPr>
      <w:r>
        <w:rPr>
          <w:sz w:val="22"/>
        </w:rPr>
        <w:t>Write attributed knowledge</w:t>
      </w:r>
      <w:r>
        <w:rPr>
          <w:sz w:val="22"/>
        </w:rPr>
        <w:tab/>
        <w:t>29</w:t>
      </w:r>
    </w:p>
    <w:p>
      <w:pPr>
        <w:spacing w:after="0" w:line="240" w:lineRule="auto"/>
        <w:tabs>
          <w:tab w:val="right" w:leader="dot" w:pos="9360"/>
        </w:tabs>
      </w:pPr>
      <w:r>
        <w:rPr>
          <w:sz w:val="22"/>
        </w:rPr>
        <w:t>Link authored sections to exact evidence</w:t>
      </w:r>
      <w:r>
        <w:rPr>
          <w:sz w:val="22"/>
        </w:rPr>
        <w:tab/>
        <w:t>30</w:t>
      </w:r>
    </w:p>
    <w:p>
      <w:pPr>
        <w:spacing w:after="0" w:line="240" w:lineRule="auto"/>
        <w:tabs>
          <w:tab w:val="right" w:leader="dot" w:pos="9360"/>
        </w:tabs>
      </w:pPr>
      <w:r>
        <w:rPr>
          <w:sz w:val="22"/>
        </w:rPr>
        <w:t>Review and retire knowledge</w:t>
      </w:r>
      <w:r>
        <w:rPr>
          <w:sz w:val="22"/>
        </w:rPr>
        <w:tab/>
        <w:t>30</w:t>
      </w:r>
    </w:p>
    <w:p>
      <w:pPr>
        <w:spacing w:after="0" w:line="240" w:lineRule="auto"/>
        <w:tabs>
          <w:tab w:val="right" w:leader="dot" w:pos="9360"/>
        </w:tabs>
      </w:pPr>
      <w:r>
        <w:rPr>
          <w:sz w:val="22"/>
        </w:rPr>
        <w:t>Review changed knowledge against evidence</w:t>
      </w:r>
      <w:r>
        <w:rPr>
          <w:sz w:val="22"/>
        </w:rPr>
        <w:tab/>
        <w:t>31</w:t>
      </w:r>
    </w:p>
    <w:p>
      <w:pPr>
        <w:spacing w:after="0" w:line="240" w:lineRule="auto"/>
        <w:tabs>
          <w:tab w:val="right" w:leader="dot" w:pos="9360"/>
        </w:tabs>
      </w:pPr>
      <w:r>
        <w:rPr>
          <w:sz w:val="22"/>
        </w:rPr>
        <w:t>Answer focused author questions</w:t>
      </w:r>
      <w:r>
        <w:rPr>
          <w:sz w:val="22"/>
        </w:rPr>
        <w:tab/>
        <w:t>31</w:t>
      </w:r>
    </w:p>
    <w:p>
      <w:pPr>
        <w:spacing w:after="0" w:line="240" w:lineRule="auto"/>
        <w:tabs>
          <w:tab w:val="right" w:leader="dot" w:pos="9360"/>
        </w:tabs>
      </w:pPr>
      <w:r>
        <w:rPr>
          <w:sz w:val="22"/>
        </w:rPr>
        <w:t>Preserve saved runtime observations</w:t>
      </w:r>
      <w:r>
        <w:rPr>
          <w:sz w:val="22"/>
        </w:rPr>
        <w:tab/>
        <w:t>31</w:t>
      </w:r>
    </w:p>
    <w:p>
      <w:pPr>
        <w:spacing w:after="0" w:line="240" w:lineRule="auto"/>
        <w:tabs>
          <w:tab w:val="right" w:leader="dot" w:pos="9360"/>
        </w:tabs>
      </w:pPr>
      <w:r>
        <w:rPr>
          <w:sz w:val="22"/>
        </w:rPr>
        <w:t>Retain captures and review rename continuity</w:t>
      </w:r>
      <w:r>
        <w:rPr>
          <w:sz w:val="22"/>
        </w:rPr>
        <w:tab/>
        <w:t>32</w:t>
      </w:r>
    </w:p>
    <w:p>
      <w:pPr>
        <w:spacing w:after="0" w:line="240" w:lineRule="auto"/>
        <w:tabs>
          <w:tab w:val="right" w:leader="dot" w:pos="9360"/>
        </w:tabs>
      </w:pPr>
      <w:r>
        <w:rPr>
          <w:sz w:val="22"/>
        </w:rPr>
        <w:t>Back up and restore a complete database</w:t>
      </w:r>
      <w:r>
        <w:rPr>
          <w:sz w:val="22"/>
        </w:rPr>
        <w:tab/>
        <w:t>32</w:t>
      </w:r>
    </w:p>
    <w:p>
      <w:pPr>
        <w:spacing w:after="0" w:line="240" w:lineRule="auto"/>
        <w:tabs>
          <w:tab w:val="right" w:leader="dot" w:pos="9360"/>
        </w:tabs>
      </w:pPr>
      <w:r>
        <w:rPr>
          <w:sz w:val="22"/>
        </w:rPr>
        <w:t>Publish manuals and handoffs</w:t>
      </w:r>
      <w:r>
        <w:rPr>
          <w:sz w:val="22"/>
        </w:rPr>
        <w:tab/>
        <w:t>32</w:t>
      </w:r>
    </w:p>
    <w:p>
      <w:pPr>
        <w:spacing w:after="0" w:line="240" w:lineRule="auto"/>
        <w:tabs>
          <w:tab w:val="right" w:leader="dot" w:pos="9360"/>
        </w:tabs>
      </w:pPr>
      <w:r>
        <w:rPr>
          <w:sz w:val="22"/>
        </w:rPr>
        <w:t>Translate and review saved sections</w:t>
      </w:r>
      <w:r>
        <w:rPr>
          <w:sz w:val="22"/>
        </w:rPr>
        <w:tab/>
        <w:t>33</w:t>
      </w:r>
    </w:p>
    <w:p>
      <w:pPr>
        <w:spacing w:after="0" w:line="240" w:lineRule="auto"/>
        <w:tabs>
          <w:tab w:val="right" w:leader="dot" w:pos="9360"/>
        </w:tabs>
      </w:pPr>
      <w:r>
        <w:rPr>
          <w:sz w:val="22"/>
        </w:rPr>
        <w:t>Publish localized text and source browsing</w:t>
      </w:r>
      <w:r>
        <w:rPr>
          <w:sz w:val="22"/>
        </w:rPr>
        <w:tab/>
        <w:t>33</w:t>
      </w:r>
    </w:p>
    <w:p>
      <w:pPr>
        <w:spacing w:after="0" w:line="240" w:lineRule="auto"/>
        <w:tabs>
          <w:tab w:val="right" w:leader="dot" w:pos="9360"/>
        </w:tabs>
      </w:pPr>
      <w:r>
        <w:rPr>
          <w:sz w:val="22"/>
        </w:rPr>
        <w:t>Validate a bundle in the application</w:t>
      </w:r>
      <w:r>
        <w:rPr>
          <w:sz w:val="22"/>
        </w:rPr>
        <w:tab/>
        <w:t>34</w:t>
      </w:r>
    </w:p>
    <w:p>
      <w:pPr>
        <w:spacing w:after="0" w:line="240" w:lineRule="auto"/>
        <w:tabs>
          <w:tab w:val="right" w:leader="dot" w:pos="9360"/>
        </w:tabs>
      </w:pPr>
      <w:r>
        <w:rPr>
          <w:sz w:val="22"/>
        </w:rPr>
        <w:t>Validate and preserve exports</w:t>
      </w:r>
      <w:r>
        <w:rPr>
          <w:sz w:val="22"/>
        </w:rPr>
        <w:tab/>
        <w:t>34</w:t>
      </w:r>
    </w:p>
    <w:p>
      <w:pPr>
        <w:spacing w:after="0" w:line="240" w:lineRule="auto"/>
        <w:tabs>
          <w:tab w:val="right" w:leader="dot" w:pos="9360"/>
        </w:tabs>
      </w:pPr>
      <w:r>
        <w:rPr>
          <w:sz w:val="22"/>
        </w:rPr>
        <w:t>Troubleshoot common states</w:t>
      </w:r>
      <w:r>
        <w:rPr>
          <w:sz w:val="22"/>
        </w:rPr>
        <w:tab/>
        <w:t>34</w:t>
      </w:r>
    </w:p>
    <w:p>
      <w:pPr>
        <w:spacing w:after="0" w:line="240" w:lineRule="auto"/>
        <w:tabs>
          <w:tab w:val="right" w:leader="dot" w:pos="9360"/>
        </w:tabs>
      </w:pPr>
      <w:r>
        <w:rPr>
          <w:sz w:val="22"/>
        </w:rPr>
        <w:t>Practice a maintenance handoff</w:t>
      </w:r>
      <w:r>
        <w:rPr>
          <w:sz w:val="22"/>
        </w:rPr>
        <w:tab/>
        <w:t>35</w:t>
      </w:r>
    </w:p>
    <w:p>
      <w:pPr>
        <w:spacing w:after="0" w:line="240" w:lineRule="auto"/>
        <w:tabs>
          <w:tab w:val="right" w:leader="dot" w:pos="9360"/>
        </w:tabs>
      </w:pPr>
      <w:r>
        <w:rPr>
          <w:sz w:val="22"/>
        </w:rPr>
        <w:t>Understand implementation status</w:t>
      </w:r>
      <w:r>
        <w:rPr>
          <w:sz w:val="22"/>
        </w:rPr>
        <w:tab/>
        <w:t>35</w:t>
      </w:r>
    </w:p>
    <w:p>
      <w:pPr>
        <w:spacing w:after="0" w:line="240" w:lineRule="auto"/>
        <w:tabs>
          <w:tab w:val="right" w:leader="dot" w:pos="9360"/>
        </w:tabs>
      </w:pPr>
      <w:r>
        <w:rPr>
          <w:sz w:val="22"/>
        </w:rPr>
        <w:t>Inventory business processes</w:t>
      </w:r>
      <w:r>
        <w:rPr>
          <w:sz w:val="22"/>
        </w:rPr>
        <w:tab/>
        <w:t>35</w:t>
      </w:r>
    </w:p>
    <w:p>
      <w:pPr>
        <w:spacing w:after="0" w:line="240" w:lineRule="auto"/>
        <w:tabs>
          <w:tab w:val="right" w:leader="dot" w:pos="9360"/>
        </w:tabs>
      </w:pPr>
      <w:r>
        <w:rPr>
          <w:sz w:val="22"/>
        </w:rPr>
        <w:t>Record departmental workflows</w:t>
      </w:r>
      <w:r>
        <w:rPr>
          <w:sz w:val="22"/>
        </w:rPr>
        <w:tab/>
        <w:t>36</w:t>
      </w:r>
    </w:p>
    <w:p>
      <w:pPr>
        <w:spacing w:after="0" w:line="240" w:lineRule="auto"/>
        <w:tabs>
          <w:tab w:val="right" w:leader="dot" w:pos="9360"/>
        </w:tabs>
      </w:pPr>
      <w:r>
        <w:rPr>
          <w:sz w:val="22"/>
        </w:rPr>
        <w:t>Read end-to-end process diagrams</w:t>
      </w:r>
      <w:r>
        <w:rPr>
          <w:sz w:val="22"/>
        </w:rPr>
        <w:tab/>
        <w:t>37</w:t>
      </w:r>
    </w:p>
    <w:p>
      <w:pPr>
        <w:spacing w:after="0" w:line="240" w:lineRule="auto"/>
        <w:tabs>
          <w:tab w:val="right" w:leader="dot" w:pos="9360"/>
        </w:tabs>
      </w:pPr>
      <w:r>
        <w:rPr>
          <w:sz w:val="22"/>
        </w:rPr>
        <w:t>Source and revision evidence</w:t>
      </w:r>
      <w:r>
        <w:rPr>
          <w:sz w:val="22"/>
        </w:rPr>
        <w:tab/>
        <w:t>37</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Change impact and Data lineage. Select a relevant routine or component before choosing a narrow graph. Ordinary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ordinary views retain their 120-node bound; lineage permits 200.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DPH-WP3-15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Define table and column business meanings</w:t>
      </w:r>
    </w:p>
    <w:p>
      <w:r>
        <w:t>A data dictionary explains what a table or column means to the people using the application. DPH captures technical SQL structure, but a knowledgeable contributor must supply business meanings. Open Database schema in the upper-right page selector. Select a declared table or column. The labeled details area starts with its saved business dictionary, or explains that none has been recorded for these captured source bytes.</w:t>
      </w:r>
    </w:p>
    <w:p>
      <w:r>
        <w:t>Scroll the command strip horizontally to the right and click Edit dictionary. Enter the named contributor, Business definition, Business owner or steward, Sensitivity and handling, and Evidence and remaining unknowns. These fields are required; explicitly write Unknown and the person or evidence needed when an answer is unavailable. Units values and business usage is optional. Do not paste actual customer records, credentials or confidential example values. A sensitivity entry is documentation, not automatic access control.</w:t>
      </w:r>
    </w:p>
    <w:p>
      <w:r>
        <w:t>The editor begins with business fields. Scroll downward to inspect the read-only schema identity, source path, SHA256, original capture generation, object kind/name, owning table and statement line. These identify the exact captured declaration; duplicate table names are not merged. DPH does not infer a business definition, responsible owner or sensitivity from an SQL name or declared type.</w:t>
      </w:r>
    </w:p>
    <w:p>
      <w:r>
        <w:t>Click Apply to Knowledge draft. The editor closes and Knowledge displays the protected structured draft. Click Save to create an immutable revision. Apply alone does not persist anything. Use Discard edit if you do not want the draft. To change a saved definition, return to Database schema, select the same table or column and click Edit dictionary again. Editing requires a fresh human review.</w:t>
      </w:r>
    </w:p>
    <w:p>
      <w:r>
        <w:t>Click Open dictionary history beside Edit dictionary to view contributor, editor, review state and immutable revisions in Knowledge. Enter the named reviewer and choose Verify review, Reject or Retire as appropriate. Saving a definition does not verify its truth. Additional canonical source, relationship, screenshot or section evidence can be added on Knowledge links. Open source on Database schema follows the selected captured source under the existing hash checks.</w:t>
      </w:r>
    </w:p>
    <w:p>
      <w:r>
        <w:t>The Database schema text filter also searches saved current definitions, owners, sensitivity and usage. Clear the filter to restore the inventory. Tables or columns not captured as supported declarations cannot be given invented schema identities. A changed SQL resource does not automatically inherit its old dictionary. When the same source/record/name has historical text, details explains the mismatch and Open dictionary history preserves access. Other unmatched records remain in Knowledge. Recheck business facts and author a definition for the newly captured declaration.</w:t>
      </w:r>
    </w:p>
    <w:p>
      <w:r>
        <w:t>Project handoffs include matching attributed dictionary records through the existing Knowledge sections and structured canonical records. Source exclusions and selected source scope apply; definitions whose captured source hashes differ are omitted. Review business descriptions before publishing. Native controls remain editable in the Delphi IDE. No SQL, target application or database server is run by this workflow.</w:t>
      </w:r>
    </w:p>
    <w:p>
      <w:pPr>
        <w:pStyle w:val="Heading1"/>
      </w:pPr>
      <w:r>
        <w:t>Follow dataset and screen field bindings</w:t>
      </w:r>
    </w:p>
    <w:p>
      <w:r>
        <w:t>Open the project or cached database, then choose Database connections in the upper-right page selector. Choose bound control in the kind filter to find data-aware controls, persistent field for captured field components, or data source for the intermediary between a control and dataset. Clear the text filter before changing the kind if no rows appear. Field names and component paths are searchable.</w:t>
      </w:r>
    </w:p>
    <w:p>
      <w:r>
        <w:t>Select a bound control. The labeled details memo begins with DATASET AND SCREEN BINDINGS and lists its captured DataSource and DataField references. Select Target via DataSource in the reference selector and click Follow reference to inspect the data source, then follow DataSet to its dataset and Connection to the captured connection. To go straight to a captured persistent field, select Target via DataField and click Follow reference. A field name can refer to a calculated or lookup field; it does not prove a live database column.</w:t>
      </w:r>
    </w:p>
    <w:p>
      <w:r>
        <w:t>Select a persistent field to see its captured FieldName, FieldKind, Required, ReadOnly, Size and Precision when serialized. Its DataSet reference identifies the serialized owning dataset, and Used by references return to bound controls. Choose a reference in the selector before clicking Follow reference; use the horizontal toolbar scrollbar when the command is outside the visible area. The details memo scrolls independently.</w:t>
      </w:r>
    </w:p>
    <w:p>
      <w:r>
        <w:t>For FMX TLinkControlToField, DPH recognizes the serialized DataSource, FieldName and Control properties. Follow DataSource to TBindSourceDB and DataSet, FieldName to a unique persistent field, or Control to the captured visual target. This explains stored component references without creating any target component or executing LiveBindings. General expression-based bindings, dynamically created fields, runtime assignments, uncaptured inherited values and missing external targets remain unknown.</w:t>
      </w:r>
    </w:p>
    <w:p>
      <w:r>
        <w:t>Duplicate field declarations or ambiguous data-source targets are reported without choosing one. A missing persistent field remains unresolved even if a runtime dataset might create it. Native controls are editable in the IDE. Run and test directions are in docs/guides/Dataset_Bindings_Run_and_Test.txt. The screen-data inventory is evidence for the selected captured revision, not a live database connection or an assertion about production data.</w:t>
      </w:r>
    </w:p>
    <w:p>
      <w:pPr>
        <w:pStyle w:val="Heading1"/>
      </w:pPr>
      <w:r>
        <w:t>Inspect database read and write operations</w:t>
      </w:r>
    </w:p>
    <w:p>
      <w:r>
        <w:t>Choose Database connections in the upper-right page selector, then choose database operation in its kind filter. Clear the text filter to see all captured requests; enter Post, Delete, read, insert or a calling routine name to narrow the list. Select a row. The evidence memo begins with its operation kind, requested effect and evidence basis. Operation requests are source candidates; DPH does not run the selected application or connect to its database.</w:t>
      </w:r>
    </w:p>
    <w:p>
      <w:r>
        <w:t>Open, Refresh, navigation and search methods are read candidates. Append and Insert prepare a new record buffer; Edit prepares an update. AppendRecord and InsertRecord request insertion. Post submits a pending insert or edit, depending on the dataset state; cached updates can defer persistence. Delete requests deletion of the current record. ApplyUpdates can submit mixed pending writes. Cancel and CancelUpdates concern pending edits or cached changes. None of these calls proves transaction commit or rollback.</w:t>
      </w:r>
    </w:p>
    <w:p>
      <w:r>
        <w:t>Literal SELECT, INSERT, UPDATE and DELETE text is classified separately from calls. Configuring SQL does not execute it. Joined statements retain their lexical family even when table and column binding is unsupported. Dynamic SQL, mixed batches and unsupported prefixes remain unknown. SQL values are omitted from this inventory. Inspect approved source locally to understand parameters and context.</w:t>
      </w:r>
    </w:p>
    <w:p>
      <w:r>
        <w:t>Select Target via DataSet in the reference selector and click Follow reference to inspect the exact captured receiver. A dataset lists reverse operation references in the same selector. Click Source to open the original location only after attaching unchanged source; detached, changed and historical evidence refuses navigation. Use the horizontal toolbar scrollbar to reach Follow reference and Source when they are outside the visible area. Scroll within the evidence memo for engine evidence and unknowns. Full reassessment upgrades an older capture to the new analyzer. Explicit run and test directions are in docs/guides/Database_Operations_Run_and_Test.txt.</w:t>
      </w:r>
    </w:p>
    <w:p>
      <w:pPr>
        <w:pStyle w:val="Heading1"/>
      </w:pPr>
      <w:r>
        <w:t>Inspect transaction and rollback paths</w:t>
      </w:r>
    </w:p>
    <w:p>
      <w:r>
        <w:t>Choose Database connections in the upper-right page selector. In its kind filter choose transaction operation, then clear the text filter. Select StartTransaction or BeginTrans to inspect a begin request. Select Commit, Rollback or a retaining variant to inspect that boundary. Use the calling routine name to narrow the list. Searches include linked references, so a search for a begin call may also show its connected commit and rollback rows.</w:t>
      </w:r>
    </w:p>
    <w:p>
      <w:r>
        <w:t>The evidence memo begins with TRANSACTION PATHS (SOURCE POSSIBILITIES). Each route leads to the next explicit transaction request on the same declared receiver, or to a normal/exception routine exit without another boundary. Possible normal and exception paths remain distinct. Conditional/loop routes and duplicated finally cleanup copies are labeled. A route is a conservative source possibility, not proof that the transaction started or that a commit or rollback succeeded.</w:t>
      </w:r>
    </w:p>
    <w:p>
      <w:r>
        <w:t>In the reference selector choose a Target via possible normal path or possible exception path, then click Follow reference to inspect the next boundary. Target via Transaction opens the captured receiver; Used by returns to an earlier boundary. Follow reference clears filters to reveal its exact target, so reselect transaction operation when returning to the inventory. Scroll the command bar sideways to reach Follow reference and Source. Source requires unchanged attached source; a detached cache refuses navigation.</w:t>
      </w:r>
    </w:p>
    <w:p>
      <w:r>
        <w:t>CommitRetaining and RollbackRetaining preserve or restart transaction context according to the provider. RollbackSavepoint concerns a savepoint rather than necessarily the full transaction. Post and Cancel are dataset operations and do not establish transaction completion. A visible exit without another boundary requires source and caller review; implicit transactions, aliases, external effects and provider behavior remain unknown. Missing, ambiguous or truncated flow must never be read as safe completion. Explicit launch and test steps are in docs/guides/Database_Transactions_Run_and_Test.txt.</w:t>
      </w:r>
    </w:p>
    <w:p>
      <w:pPr>
        <w:pStyle w:val="Heading1"/>
      </w:pPr>
      <w:r>
        <w:t>Inspect field validation and transformations</w:t>
      </w:r>
    </w:p>
    <w:p>
      <w:r>
        <w:t>Open the intended project or cache and choose Database connections in the upper-right page selector. Choose data rule in its kind filter. Clear the text filter, then search for a field, handler, predicate, constraint or transformation expression. Select a row. The labeled evidence memo begins DATA VALIDATION AND TRANSFORMATION EVIDENCE and shows Input expression, Output expression, Constraint, Captured expression and conditional compilation context. Drag the divider below the list or scroll the memo for the full explanation.</w:t>
      </w:r>
    </w:p>
    <w:p>
      <w:r>
        <w:t>Declared field constraints include captured Required, ReadOnly, Size, Precision, MinValue, MaxValue, CustomConstraint, DefaultExpression, error-message and edit-mask declarations. Numeric and constraint structure remains visible; literal contents are omitted. A declaration does not establish an inherited default or a successfully enforced rule. Default expressions are not evaluated. An omitted message or mask can be inspected through approved hash-checked Source.</w:t>
      </w:r>
    </w:p>
    <w:p>
      <w:r>
        <w:t>Validation and conversion hooks include OnValidate, OnSetText, OnGetText, BeforePost and other recognized dataset or input events. Captured handler conditions, raises, early returns and assignment expressions provide technical rule candidates. Assignment rows identify the written expression and its input expression, with links to available lexical declarations. Handler context identifies its associated field, dataset or bound control; it does not prove that every statement acts on that field or that an event actually ran.</w:t>
      </w:r>
    </w:p>
    <w:p>
      <w:r>
        <w:t>Scroll the command bar sideways to reach the reference selector, Follow reference and Source. Follow rule context to the field or dataset, handler to its captured routine, or lexical input/output to a declaration. Follow clears filters to show the exact target; reselect data rule afterward. Source requires unchanged attached source in the displayed generation. Missing or ambiguous handlers and unavailable syntax remain explicit. The shared 10000-row inventory limit reports omitted rules. Full launch, practice and test directions are in docs/guides/Data_Rules_Run_and_Test.txt. DPH does not run target code, SQL or validation.</w:t>
      </w:r>
    </w:p>
    <w:p>
      <w:pPr>
        <w:pStyle w:val="Heading1"/>
      </w:pPr>
      <w:r>
        <w:t>Trace inputs and destination candidates</w:t>
      </w:r>
    </w:p>
    <w:p>
      <w:r>
        <w:t>Start DPH from bin/Win32/Debug/DelphiProjectHandoff.exe. Attach the application you intend to document or open its captured database. Choose Database connections in the upper-right page selector. Choose bound control, persistent field, data rule or database operation in the kind selector and select a relevant row. Drag the horizontal toolbar scrollbar fully right to reveal Both directions, Trace lineage and Lineage diagram.</w:t>
      </w:r>
    </w:p>
    <w:p>
      <w:r>
        <w:t>Click Trace lineage. The labeled memo shows the starting point, direction, capture generation and truncation state, followed by scoped route nodes, captured edges and unresolved breaks. Each node identifies its captured source location and SHA256. Select a Lineage hop in the reference selector, then click Follow reference. A component or rule opens its inventory evidence; a semantic declaration or file output opens Explain. To open the originally selected inventory row in unchanged attached source, return to Database connections and click Source. For another traced node, follow that node first and use its own Source command.</w:t>
      </w:r>
    </w:p>
    <w:p>
      <w:r>
        <w:t>Both directions includes serialized controls and fields, data-source and dataset references, rule context, procedure reads and writes, operations and file-output candidates. This is a source relationship neighborhood. A procedure that reads one variable and writes another does not establish a value transfer between them. Dependencies are explicitly labeled separately from context. Choose Inputs for upstream dependencies or Destinations for downstream dependencies, then click Trace lineage again. These directions omit broad procedure read/write/handler context while retaining captured binding and rule context.</w:t>
      </w:r>
    </w:p>
    <w:p>
      <w:r>
        <w:t>Click Lineage diagram to open Graphs with Data lineage selected. Orange dashed arrows show qualified source relationships. The HTML diagram labels arrows and lists unresolved breaks below it. Select a component node to open Database connections or a declaration/output node to open Explain. A native graph remains available when the embedded browser is unavailable. Exact node identity is retained and grouping is disabled. To return to the textual route, choose Database connections in the page selector, select the intended starting row and click Trace lineage.</w:t>
      </w:r>
    </w:p>
    <w:p>
      <w:r>
        <w:t>A file destination node identifies a captured writer and whether the destination expression was literal or dynamic. Follow it to Explain and inspect captured source for the expression. Projected lineage omits literal contents and configuration values. No file is produced and no SQL is executed by the trace. Unknown handlers, absent dataset references, unavailable semantic targets, connection boundaries and omitted routes remain explicit. A final captured endpoint does not establish successful delivery, current values or runtime execution. Limits are 200 returned nodes, 800 edges and 12 hops; index limits are also reported. Full directions and a controlled practice project are in docs/guides/Data_Lineage_Run_and_Test.txt.</w:t>
      </w:r>
    </w:p>
    <w:p>
      <w:pPr>
        <w:pStyle w:val="Heading1"/>
      </w:pPr>
      <w:r>
        <w:t>Inspect migration and schema-version history</w:t>
      </w:r>
    </w:p>
    <w:p>
      <w:r>
        <w:t>Start bin/Win32/Debug/DelphiProjectHandoff.exe and attach the application you intend to document, or open its captured database. In the upper-right page selector choose Database schema. In the leftmost kind selector choose migration. Keep the state selector at All to include readable script candidates and migration gaps. Enter part of a script filename or an explicit user_version assignment in the search box. Select a row.</w:t>
      </w:r>
    </w:p>
    <w:p>
      <w:r>
        <w:t>A migration changes database structure or data between application versions. DPH shows each referenced captured SQL script as a candidate. The evidence memo begins with a filename order candidate, explicit target-version assignments, verification requests, applied status and source fingerprint. Leading numeric filename prefixes provide intended-order candidates within each directory. Equivalent numbers such as 001 and 1 produce an explicit conflict. File numbers and captured loader enumeration do not establish the order used by a migration runner.</w:t>
      </w:r>
    </w:p>
    <w:p>
      <w:r>
        <w:t>SQLite user_version assignments with a supported nonnegative integer preserve their schema qualifier and statement line. Multiple assignments remain visible; DPH does not select a deployed winner. A query of user_version and SQLite schema_version are not promoted to an application target version. Other migration-framework version metadata and dynamic expressions remain unknown. Captured integrity_check, quick_check and foreign_key_check requests identify potential verification work; DPH does not run them and does not report a successful result.</w:t>
      </w:r>
    </w:p>
    <w:p>
      <w:r>
        <w:t>Drag the command bar scrollbar right to reveal the relationship selector and Follow relationship. Choose a captured schema evidence link and click Follow relationship to inspect the script declaration or gap. To read a script, select its migration row and click Open source. Source opens only when the attached bytes still match the capture. A migration gap cites the Pascal loader of an unavailable script; no missing SQL is reconstructed. Clear filters and use First page or Next page for larger inventories.</w:t>
      </w:r>
    </w:p>
    <w:p>
      <w:r>
        <w:t>Applied state remains unknown because source text is not a deployment ledger. Ask the maintainer to supply the intended migration framework, ordering rules, expected schema versions and recorded verification results. Save attributed explanations through Knowledge and review them against evidence. Full commands and a controlled practice project are in docs/guides/Schema_History_Run_and_Test.txt.</w:t>
      </w:r>
    </w:p>
    <w:p>
      <w:pPr>
        <w:pStyle w:val="Heading1"/>
      </w:pPr>
      <w:r>
        <w:t>Inspect import and export file formats</w:t>
      </w:r>
    </w:p>
    <w:p>
      <w:r>
        <w:t>Start bin/Win32/Debug/DelphiProjectHandoff.exe. Attach the application you intend to document or open its captured database. Choose Import/export formats in the upper-right page selector. A file-format contract explains how another program can produce or consume a file: its encoding, structure, required fields, compatibility and error handling.</w:t>
      </w:r>
    </w:p>
    <w:p>
      <w:r>
        <w:t>Use the kind selector to choose import, export or captured resource. Enter a format, routine or encoding in the search field. Select a row and read Format evidence and saved contract below the list. First page and Next page navigate inventories over 250 rows. Scroll the command bar horizontally when the window is narrow. Open source opens unchanged attached evidence; Explain routine selects the captured enclosing routine.</w:t>
      </w:r>
    </w:p>
    <w:p>
      <w:r>
        <w:t>Captured JSON, XML and INI resources expose bounded member structure with scalar values omitted. This is observed structure, not a formal validation schema. Transfer API spellings identify candidates and literal filename extensions; explicit TEncoding arguments remain source candidates. Captured source decoding is separate from a transfer encoding contract. Dynamic paths, defaults, missing structure and unsupported formats remain unknown.</w:t>
      </w:r>
    </w:p>
    <w:p>
      <w:r>
        <w:t>Click Record/open contract. An existing contract opens in Knowledge; otherwise DPH prepares a draft with fields for format/version, purpose, encoding and BOM, schema, delimiters and escaping, producer, consumer, validation, compatibility and verification. Complete each field or explicitly record Unknown and its responsible maintainer. Enter the named author, click Save and review separately against evidence. Preparing the draft does not save or verify it. Clear an unsaved Knowledge draft before opening a different contract.</w:t>
      </w:r>
    </w:p>
    <w:p>
      <w:r>
        <w:t>Contracts retain an exact captured source identity. Reassessment with changed source creates a different contract identity; previous records remain available in Knowledge. DPH does not execute a transfer or infer successful compatibility. Detailed commands and controlled practice instructions are in docs/guides/File_Formats_Run_and_Test.txt.</w:t>
      </w:r>
    </w:p>
    <w:p>
      <w:pPr>
        <w:pStyle w:val="Heading1"/>
      </w:pPr>
      <w:r>
        <w:t>Record target data retention and archival policies</w:t>
      </w:r>
    </w:p>
    <w:p>
      <w:r>
        <w:t>Start bin/Win32/Debug/DelphiProjectHandoff.exe and attach the application you want to document, or open its saved database. Choose Target data retention in the upper-right page selector. This page records the selected application's data obligations and archival procedures. DPH database snapshot retention remains on Database tools and is a separate feature.</w:t>
      </w:r>
    </w:p>
    <w:p>
      <w:r>
        <w:t>Click New policy. DPH opens an unsaved Knowledge draft. Replace the default title with a descriptive data scope before saving; saved titles remain stable. Enter the named contributor and complete the body below its first heading. The prompts cover data categories and tables/files, policy basis, retention period and clock-start event, expiry calculation, archive trigger and schedule, archive destination and permissions, disposal, legal holds, ownership, retrieval, failure monitoring, verification evidence and remaining unknowns. Record Unknown and its responsible maintainer when a fact is unavailable.</w:t>
      </w:r>
    </w:p>
    <w:p>
      <w:r>
        <w:t>To link an implementing routine, choose Knowledge links in the page selector. Select entity in the target-kind selector, enter the routine name, and click Find targets. Select the semantic_routine result, choose depends_on, then Add link. To cite an operating procedure saved in Knowledge, choose section, search its title and Add link with cites. Return to Knowledge and click Save. Links are explicit captured identities or exact section revisions; a written job name alone does not resolve an implementation link. Link search returns up to 200 candidates, so narrow the filter when necessary.</w:t>
      </w:r>
    </w:p>
    <w:p>
      <w:r>
        <w:t>Return to Target data retention. Filter by review state or search policy text, contributor, scope or job. Select a saved policy to read its original contributor, current revision author, reviewer and explicit link count. First page and Next page cover registers larger than 250 policies. Scroll the toolbar sideways in a narrow window. Open policy loads the saved Knowledge record for editing and named review. Implementation links opens its saved links; select a link and Open saved target to inspect its captured routine or exact procedure revision.</w:t>
      </w:r>
    </w:p>
    <w:p>
      <w:r>
        <w:t>Save creates a pending review revision. Review separately against policy evidence; editing a reviewed policy reopens review and retains earlier revisions. Save or discard an existing Knowledge draft before opening another policy. DPH does not execute archival, deletion, SQL or target jobs. Human review does not establish legal compliance or observed success; Unknown fields remain unresolved. Detailed run, practice and test commands are in docs/guides/Data_Retention_Run_and_Test.txt.</w:t>
      </w:r>
    </w:p>
    <w:p>
      <w:pPr>
        <w:pStyle w:val="Heading1"/>
      </w:pPr>
      <w:r>
        <w:t>Record target data quality rules and check reports</w:t>
      </w:r>
    </w:p>
    <w:p>
      <w:r>
        <w:t>Choose Target data quality in the upper-right page selector after attaching a source project or opening its database. New check prepares an unsaved Knowledge draft. Enter a descriptive title and named author. Preserve the first heading and record the check purpose and version, tables/fields/files and environment, quality dimension, measurable threshold and units, prerequisites and sampling, implementing procedure and schedule, responsible owner, failure severity and remediation, observed results, evidence and remaining unknowns. Unknown is an unresolved answer and should name its responsible maintainer.</w:t>
      </w:r>
    </w:p>
    <w:p>
      <w:r>
        <w:t>Use Knowledge links to attach captured semantic routines, constraints or exact procedure-section revisions. Choose entity, evidence or section, narrow the search, Find targets, select a result, choose depends_on or cites, and Add link. Return to Knowledge and Save. A typed routine name in prose is not a resolved link. Saving leaves needs_review; named review is separate. Open check returns to the saved record for editing, history and review. Implementation links opens its exact links. Search and review-state filters narrow the register; Next page covers lists exceeding 250 rows.</w:t>
      </w:r>
    </w:p>
    <w:p>
      <w:r>
        <w:t>To preserve an existing check report, enter the report contributor name and the check/environment/measurement context on Target data quality, then click Import check report. Select an explicitly saved UTF-8 .txt, .log or .json extract no larger than 32 KiB. Import immediately saves a new pending-review quality record containing the literal text, contributor, context, import UTC, captured generation and original byte SHA256. No file commands or markup execute. The imported text may contain sensitive data, so prepare an appropriate focused extract first. Report measurements, timestamps and runtime origin remain contributor claims.</w:t>
      </w:r>
    </w:p>
    <w:p>
      <w:r>
        <w:t>To connect a report with its rule, Open check on the rule, choose Implementation links or Knowledge links, select section and search Imported check report plus its descriptive context. Choose the exact report revision, cites and Add link, then return to Knowledge and Save. Earlier linked revisions remain exact when a report is edited. Read every report and procedure against its source; human review does not establish live data quality. Save or discard a current draft before opening another record or importing a report. DPH database integrity checks are a separate feature.</w:t>
      </w:r>
    </w:p>
    <w:p>
      <w:r>
        <w:t>In a narrow window scroll each command bar horizontally to reach all commands and report fields; the labeled evidence memo scrolls independently. Detailed run, practice, import and test directions are in docs/guides/Data_Quality_Run_and_Test.txt. DPH does not run target SQL, checks or applications. Captured schema constraints and validation routines are declarations and candidates rather than observed enforcement.</w:t>
      </w:r>
    </w:p>
    <w:p>
      <w:pPr>
        <w:pStyle w:val="Heading1"/>
      </w:pPr>
      <w:r>
        <w:t>Record backup and restoration requirements</w:t>
      </w:r>
    </w:p>
    <w:p>
      <w:r>
        <w:t>After attaching the selected application or opening its saved database, choose Target backup and restore in the upper-right page selector. This register documents the selected application. DPH portable database backups remain on Database tools and serve a separate purpose. New plan opens an unsaved Knowledge draft. Enter a descriptive title and named author and preserve the first heading.</w:t>
      </w:r>
    </w:p>
    <w:p>
      <w:r>
        <w:t>Complete the data scope, recovery point objective and maximum acceptable data loss, recovery time objective and priority, backup type and consistency, schedule, destination, retention and offsite copies, encryption and key responsibility, prerequisites and dependency order, restoration steps, rollback criteria and responsible operators. Unknown remains unresolved and should name the responsible maintainer. Avoid credentials and actual customer data.</w:t>
      </w:r>
    </w:p>
    <w:p>
      <w:r>
        <w:t>Record each recovery test with its date, isolated environment, operator, backup identity or hash, measured recovery time and recovered point, acceptance checks, failures, corrective action, reviewer and evidence. These are attributed claims. Use Knowledge links to attach captured backup or restore routines with entity and depends_on, or exact operating procedure and recovery-test evidence revisions with section and cites. Return to Knowledge and Save. A name in prose alone does not create an implementation link.</w:t>
      </w:r>
    </w:p>
    <w:p>
      <w:r>
        <w:t>Save creates a needs_review revision. Review separately against evidence using a named reviewer. Open plan returns to its saved Knowledge record for editing and history; Implementation links opens the exact links. Filters search plan text and review state. First page and Next page navigate more than 250 plans. Scroll the command bar horizontally in narrow windows and the labeled evidence memo vertically. Save or discard an existing draft before starting or opening another plan.</w:t>
      </w:r>
    </w:p>
    <w:p>
      <w:r>
        <w:t>DPH never runs a target backup or restoration or proves that a recovery test succeeded. Publishing with the maintenance or all audience includes the attributed plan subject to exclusions and redaction. Explicit run, practice and test instructions are in docs/guides/Target_Recovery_Run_and_Test.txt.</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314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Inventory business processes</w:t>
      </w:r>
    </w:p>
    <w:p>
      <w:r>
        <w:t>Open the selected application or its database, then choose Business processes in the upper-right page selector. Click New process. The Process fields page provides separately labeled fields for process name, accountable owner, department and roles, trigger and prerequisites, inputs and their origins, outputs and recipients, ordered steps and handoffs, and unknowns with the person responsible for resolving them. Enter a named contributor above the fields. The contributor records the description; the accountable owner is a separate business role.</w:t>
      </w:r>
    </w:p>
    <w:p>
      <w:r>
        <w:t>Give the process a descriptive name. Complete each field or explicitly enter Unknown. Do not enter customer records or credentials. Name is stable after saving; other fields remain editable. Each field accepts up to 4096 characters and the name up to 200. Scroll vertically to reach the last fields. In a narrow window scroll the command bar horizontally to reach Apply to Knowledge draft. Apply prepares the canonical body and does not save it. Click Save on Knowledge to persist the process as needs_review.</w:t>
      </w:r>
    </w:p>
    <w:p>
      <w:r>
        <w:t>Choose Knowledge links to connect captured routines using entity and depends_on, or exact procedure/evidence revisions using section and cites. Search, Find targets, select a result, choose the link role and Add link. Return to Knowledge and Save. A routine name written in prose alone is not a source link. Review separately using a named reviewer after checking the business account and source evidence.</w:t>
      </w:r>
    </w:p>
    <w:p>
      <w:r>
        <w:t>Return to Business processes. Open record opens saved Knowledge and its immutable history; Edit fields restores the structured editor, preserves the process identity and exact links, and prepares a new revision after Apply and Save. Implementation links opens its evidence links. The review-state and text filters search the register, including owners, inputs and outputs. First page and Next page expose inventories larger than 250 records. Save or discard a current draft before editing another process. Cancel discards the current draft.</w:t>
      </w:r>
    </w:p>
    <w:p>
      <w:r>
        <w:t>Publishing with maintenance or all audience includes the attributed canonical process and typed fields, subject to exclusions and redaction. These descriptions do not establish that the target performed the steps or produced the stated outcomes. A repeatable exercise and elevated test command are in docs/guides/Business_Process_Run_and_Test.txt.</w:t>
      </w:r>
    </w:p>
    <w:p>
      <w:pPr>
        <w:pStyle w:val="Heading1"/>
      </w:pPr>
      <w:r>
        <w:t>Record departmental workflows</w:t>
      </w:r>
    </w:p>
    <w:p>
      <w:r>
        <w:t>Open the intended project or its database and choose Departmental workflows in the upper-right page selector. Click New workflow. In Workflow fields enter a named contributor, descriptive name, accountable owner, department scope, trigger and prerequisites, and unresolved questions with their responsible maintainer. Scroll down to Ordered steps. The contributor records the account; the accountable owner is a separate role.</w:t>
      </w:r>
    </w:p>
    <w:p>
      <w:r>
        <w:t>Click New step. Enter its department, responsible role, descriptive action, inputs and origins, outputs and recipients, handoff to the next department or role, and exception handling or recovery. Unknown remains an unresolved value. Choose the Exception destination from Unknown, End or an existing named step. Click Apply step. This updates the local workflow draft and does not save the database. Repeat to add the next step. Normal order follows the list; the last step ends the authored sequence.</w:t>
      </w:r>
    </w:p>
    <w:p>
      <w:r>
        <w:t>Select a step to edit it, then Apply step. Move up and Move down reorder the normal sequence while retaining stable exception destinations. Remove step refuses removal while another step refers to it as an exception destination; edit that referring step first. Apply or Discard step edits before selecting, adding, removing or moving another step. Discard step edits abandons the current step changes. Cancel discards the entire workflow draft.</w:t>
      </w:r>
    </w:p>
    <w:p>
      <w:r>
        <w:t>Click Apply workflow to draft, then click Save on Knowledge. Save refuses an unapplied editor to avoid losing field changes. Use Knowledge links with section and cites to link an exact saved business-process or procedure revision; use entity and depends_on for captured implementing routines. Return to Knowledge and Save the links. Review separately using a named reviewer. Open record shows saved Knowledge and immutable history; Edit fields restores the structured workflow for a new revision.</w:t>
      </w:r>
    </w:p>
    <w:p>
      <w:r>
        <w:t>Filter by workflow, department, role, action or review state. First page and Next page navigate inventories larger than 250 records. Scroll command bars horizontally and the editor vertically in narrow windows. Each workflow contains 1 through 64 steps, with a 64 KiB structured-record limit. Workflow fields accept 4096 characters, the name 200 and step fields 2048. Split a larger account into explicitly linked workflows. Unknown destinations remain visible rather than invented.</w:t>
      </w:r>
    </w:p>
    <w:p>
      <w:r>
        <w:t>Publish with maintenance or all audience to include the canonical ordered steps and attributed exception paths, subject to exclusions and redaction. DPH never executes a business workflow; content review does not grant business authorization or prove success. Detailed run, practice and test directions are in docs/guides/Departmental_Workflow_Run_and_Test.txt.</w:t>
      </w:r>
    </w:p>
    <w:p>
      <w:pPr>
        <w:pStyle w:val="Heading1"/>
      </w:pPr>
      <w:r>
        <w:t>Read end-to-end process diagrams</w:t>
      </w:r>
    </w:p>
    <w:p>
      <w:r>
        <w:t>Choose Departmental workflows in the upper-right page selector and select a saved workflow. Click Process diagram. Save or discard any current Knowledge or structured-editor draft first. The Graphs page selects Business process and shows the saved workflow revision, contributor, reviewer and source generation. Technical grouping is disabled for this authored diagram.</w:t>
      </w:r>
    </w:p>
    <w:p>
      <w:r>
        <w:t>Blue arrows follow the normal step order and carry department handoffs. Orange dashed routes show the entered exception destinations, including returns to earlier steps, self-return and End. An Unknown destination has its own visible unresolved node. Scroll down and sideways to inspect the full diagram. Select a step for full fields. The full steps and routes list below the SVG preserves long action names and route descriptions.</w:t>
      </w:r>
    </w:p>
    <w:p>
      <w:r>
        <w:t>Linked business processes identify exact section revisions. Reviewed linked revision means that revision has a named reviewer and verified content state; it does not establish current business approval or runtime success. Click a process link to inspect its immutable reviewed body. If none is linked, return to Departmental workflows, Implementation links, search a business-process section, Add link, then Knowledge and Save. Review the workflow separately as appropriate.</w:t>
      </w:r>
    </w:p>
    <w:p>
      <w:r>
        <w:t>Publish with maintenance/all audience to a new output folder. Open index.html and find the workflow article: it contains the same scalable diagram and exact process-revision links. The canonical JSON and knowledge index preserve the projection, and bundle validation checks it against the authored steps. A user-only audience excludes maintainer workflows and their diagrams. No business action is executed. Detailed directions: docs/guides/Process_Diagram_Run_and_Test.txt.</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8e4a430daf51b5f1d5c0e4e8a939862dd8b80123bd7333597b949ad054f85f06</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ac49dff7e08016db2f8c720de3bac0749e52de82ccc4e7aa2b328f8032ceebe4</w:t>
      </w:r>
    </w:p>
    <w:p>
      <w:pPr>
        <w:keepNext/>
        <w:spacing w:after="0"/>
      </w:pPr>
      <w:r>
        <w:rPr>
          <w:sz w:val="18"/>
        </w:rPr>
        <w:t>DPH.Publish.Model.pas</w:t>
      </w:r>
    </w:p>
    <w:p>
      <w:pPr>
        <w:spacing w:after="20"/>
      </w:pPr>
      <w:r>
        <w:rPr>
          <w:rFonts w:ascii="Consolas" w:hAnsi="Consolas"/>
          <w:sz w:val="16"/>
        </w:rPr>
        <w:t>7068252c58364ae224e263ecc5fbf83bdb406943979f3ad752f4ca9f877de9d2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ec6318b2608e97063f8f3ad7e404ededd1dc017c67540870b3c0e43ef286c852</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41b056a1db563ef504731a7fa647e8c45aa5c9334d5ce0805799b94998fb4be4</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1d2985c6fa30e72a7ddb7c55f41a2a774e6e1517d5056507efb2666f18b47804</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be03c357c96bbdb828d63c347a6bd7d5bc5ba3ecbf161cf67853299a4aca23b5</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d6ac3ffff0c50dbcbb98f0813db1ea47769f0fa8e1f2e9418381c6735cc09953</w:t>
      </w:r>
    </w:p>
    <w:p>
      <w:pPr>
        <w:keepNext/>
        <w:spacing w:after="0"/>
      </w:pPr>
      <w:r>
        <w:rPr>
          <w:sz w:val="18"/>
        </w:rPr>
        <w:t>DPH.UI.Main.fmx</w:t>
      </w:r>
    </w:p>
    <w:p>
      <w:pPr>
        <w:spacing w:after="20"/>
      </w:pPr>
      <w:r>
        <w:rPr>
          <w:rFonts w:ascii="Consolas" w:hAnsi="Consolas"/>
          <w:sz w:val="16"/>
        </w:rPr>
        <w:t>a383ef8a6bc9a655629d8a19f73dd6dbfad80072b3430f42e9dfe92284d1a451</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