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Build a safe captured database connection inventory</w:t>
      </w:r>
      <w:r>
        <w:rPr>
          <w:sz w:val="20"/>
        </w:rPr>
        <w:tab/>
        <w:t>17</w:t>
      </w:r>
    </w:p>
    <w:p>
      <w:pPr>
        <w:spacing w:after="0" w:line="240" w:lineRule="auto"/>
        <w:tabs>
          <w:tab w:val="right" w:leader="dot" w:pos="9360"/>
        </w:tabs>
      </w:pPr>
      <w:r>
        <w:rPr>
          <w:sz w:val="20"/>
        </w:rPr>
        <w:t>Derive captured database engine and version evidence</w:t>
      </w:r>
      <w:r>
        <w:rPr>
          <w:sz w:val="20"/>
        </w:rPr>
        <w:tab/>
        <w:t>18</w:t>
      </w:r>
    </w:p>
    <w:p>
      <w:pPr>
        <w:spacing w:after="0" w:line="240" w:lineRule="auto"/>
        <w:tabs>
          <w:tab w:val="right" w:leader="dot" w:pos="9360"/>
        </w:tabs>
      </w:pPr>
      <w:r>
        <w:rPr>
          <w:sz w:val="20"/>
        </w:rPr>
        <w:t>Inspect captured database schema evidence</w:t>
      </w:r>
      <w:r>
        <w:rPr>
          <w:sz w:val="20"/>
        </w:rPr>
        <w:tab/>
        <w:t>19</w:t>
      </w:r>
    </w:p>
    <w:p>
      <w:pPr>
        <w:spacing w:after="0" w:line="240" w:lineRule="auto"/>
        <w:tabs>
          <w:tab w:val="right" w:leader="dot" w:pos="9360"/>
        </w:tabs>
      </w:pPr>
      <w:r>
        <w:rPr>
          <w:sz w:val="20"/>
        </w:rPr>
        <w:t>Extract captured column declarations and constraint text</w:t>
      </w:r>
      <w:r>
        <w:rPr>
          <w:sz w:val="20"/>
        </w:rPr>
        <w:tab/>
        <w:t>19</w:t>
      </w:r>
    </w:p>
    <w:p>
      <w:pPr>
        <w:spacing w:after="0" w:line="240" w:lineRule="auto"/>
        <w:tabs>
          <w:tab w:val="right" w:leader="dot" w:pos="9360"/>
        </w:tabs>
      </w:pPr>
      <w:r>
        <w:rPr>
          <w:sz w:val="20"/>
        </w:rPr>
        <w:t>Resolve captured key membership and references</w:t>
      </w:r>
      <w:r>
        <w:rPr>
          <w:sz w:val="20"/>
        </w:rPr>
        <w:tab/>
        <w:t>20</w:t>
      </w:r>
    </w:p>
    <w:p>
      <w:pPr>
        <w:spacing w:after="0" w:line="240" w:lineRule="auto"/>
        <w:tabs>
          <w:tab w:val="right" w:leader="dot" w:pos="9360"/>
        </w:tabs>
      </w:pPr>
      <w:r>
        <w:rPr>
          <w:sz w:val="20"/>
        </w:rPr>
        <w:t>Source and revision evidence</w:t>
      </w:r>
      <w:r>
        <w:rPr>
          <w:sz w:val="20"/>
        </w:rPr>
        <w:tab/>
        <w:t>21</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c54761ca8b275df0b2964bedd17fd56daa4de5c15e2e78ef3065a19e5236d06f</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54581b1b1ecd8978415c364ad69b4b649e3fa4feb6923dec4c00090c06aed519</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d73674b33701baf1cb4a16716876d117446dc554963a724590d4391638cd1759</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