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Guide edition 44</w:t>
      </w:r>
    </w:p>
    <w:p>
      <w:r>
        <w:t>Last changed 13 October 2026</w:t>
      </w:r>
    </w:p>
    <w:p>
      <w:r>
        <w:t>From architecture and data ownership to source analysis, storage, testing and release</w:t>
      </w:r>
    </w:p>
    <w:p>
      <w:r>
        <w:t>Experimental software</w:t>
      </w:r>
    </w:p>
    <w:p>
      <w:r>
        <w:t>This manual describes Delphi Project Handoff. Lessons about a selected Delphi application are separate material displayed and published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6</w:t>
      </w:r>
    </w:p>
    <w:p>
      <w:pPr>
        <w:pStyle w:val="TOC2"/>
        <w:tabs>
          <w:tab w:val="right" w:leader="dot" w:pos="9360"/>
        </w:tabs>
      </w:pPr>
      <w:r>
        <w:t>5. Background request and response protocol</w:t>
      </w:r>
      <w:r>
        <w:tab/>
        <w:t>7</w:t>
      </w:r>
    </w:p>
    <w:p>
      <w:pPr>
        <w:pStyle w:val="TOC2"/>
        <w:tabs>
          <w:tab w:val="right" w:leader="dot" w:pos="9360"/>
        </w:tabs>
      </w:pPr>
      <w:r>
        <w:t>6. End-to-end flows an engineer must preserve</w:t>
      </w:r>
      <w:r>
        <w:tab/>
        <w:t>8</w:t>
      </w:r>
    </w:p>
    <w:p>
      <w:pPr>
        <w:pStyle w:val="TOC1"/>
        <w:tabs>
          <w:tab w:val="right" w:leader="dot" w:pos="9360"/>
        </w:tabs>
      </w:pPr>
      <w:r>
        <w:t>PART 2: Source acquisition, syntax, and semantics</w:t>
      </w:r>
      <w:r>
        <w:tab/>
        <w:t>9</w:t>
      </w:r>
    </w:p>
    <w:p>
      <w:pPr>
        <w:pStyle w:val="TOC2"/>
        <w:tabs>
          <w:tab w:val="right" w:leader="dot" w:pos="9360"/>
        </w:tabs>
      </w:pPr>
      <w:r>
        <w:t>7. Source bytes, ranges, and safe acquisition</w:t>
      </w:r>
      <w:r>
        <w:tab/>
        <w:t>9</w:t>
      </w:r>
    </w:p>
    <w:p>
      <w:pPr>
        <w:pStyle w:val="TOC2"/>
        <w:tabs>
          <w:tab w:val="right" w:leader="dot" w:pos="9360"/>
        </w:tabs>
      </w:pPr>
      <w:r>
        <w:t>8. Project inventory and reading configuration</w:t>
      </w:r>
      <w:r>
        <w:tab/>
        <w:t>10</w:t>
      </w:r>
    </w:p>
    <w:p>
      <w:pPr>
        <w:pStyle w:val="TOC2"/>
        <w:tabs>
          <w:tab w:val="right" w:leader="dot" w:pos="9360"/>
        </w:tabs>
      </w:pPr>
      <w:r>
        <w:t>9. Lexer, preprocessing, and intermediate representation</w:t>
      </w:r>
      <w:r>
        <w:tab/>
        <w:t>11</w:t>
      </w:r>
    </w:p>
    <w:p>
      <w:pPr>
        <w:pStyle w:val="TOC2"/>
        <w:tabs>
          <w:tab w:val="right" w:leader="dot" w:pos="9360"/>
        </w:tabs>
      </w:pPr>
      <w:r>
        <w:t>10. Pascal, forms, and resource parsing</w:t>
      </w:r>
      <w:r>
        <w:tab/>
        <w:t>12</w:t>
      </w:r>
    </w:p>
    <w:p>
      <w:pPr>
        <w:pStyle w:val="TOC2"/>
        <w:tabs>
          <w:tab w:val="right" w:leader="dot" w:pos="9360"/>
        </w:tabs>
      </w:pPr>
      <w:r>
        <w:t>11. Symbols, resolution, control flow, and focused analyses</w:t>
      </w:r>
      <w:r>
        <w:tab/>
        <w:t>13</w:t>
      </w:r>
    </w:p>
    <w:p>
      <w:pPr>
        <w:pStyle w:val="TOC1"/>
        <w:tabs>
          <w:tab w:val="right" w:leader="dot" w:pos="9360"/>
        </w:tabs>
      </w:pPr>
      <w:r>
        <w:t>PART 3: Persistence, authored knowledge, and native presentation</w:t>
      </w:r>
      <w:r>
        <w:tab/>
        <w:t>14</w:t>
      </w:r>
    </w:p>
    <w:p>
      <w:pPr>
        <w:pStyle w:val="TOC2"/>
        <w:tabs>
          <w:tab w:val="right" w:leader="dot" w:pos="9360"/>
        </w:tabs>
      </w:pPr>
      <w:r>
        <w:t>12. SQLite store ownership, migrations, and transactions</w:t>
      </w:r>
      <w:r>
        <w:tab/>
        <w:t>14</w:t>
      </w:r>
    </w:p>
    <w:p>
      <w:pPr>
        <w:pStyle w:val="TOC2"/>
        <w:tabs>
          <w:tab w:val="right" w:leader="dot" w:pos="9360"/>
        </w:tabs>
      </w:pPr>
      <w:r>
        <w:t>13. Generations, source identity, and cached views</w:t>
      </w:r>
      <w:r>
        <w:tab/>
        <w:t>15</w:t>
      </w:r>
    </w:p>
    <w:p>
      <w:pPr>
        <w:pStyle w:val="TOC2"/>
        <w:tabs>
          <w:tab w:val="right" w:leader="dot" w:pos="9360"/>
        </w:tabs>
      </w:pPr>
      <w:r>
        <w:t>14. Authored revisions, links, and review state</w:t>
      </w:r>
      <w:r>
        <w:tab/>
        <w:t>16</w:t>
      </w:r>
    </w:p>
    <w:p>
      <w:pPr>
        <w:pStyle w:val="TOC2"/>
        <w:tabs>
          <w:tab w:val="right" w:leader="dot" w:pos="9360"/>
        </w:tabs>
      </w:pPr>
      <w:r>
        <w:t>15. Structured tasks, teaching cards, and personal progress</w:t>
      </w:r>
      <w:r>
        <w:tab/>
        <w:t>17</w:t>
      </w:r>
    </w:p>
    <w:p>
      <w:pPr>
        <w:pStyle w:val="TOC2"/>
        <w:tabs>
          <w:tab w:val="right" w:leader="dot" w:pos="9360"/>
        </w:tabs>
      </w:pPr>
      <w:r>
        <w:t>16. Pictures, artifacts, and anchored callouts</w:t>
      </w:r>
      <w:r>
        <w:tab/>
        <w:t>19</w:t>
      </w:r>
    </w:p>
    <w:p>
      <w:pPr>
        <w:pStyle w:val="TOC2"/>
        <w:tabs>
          <w:tab w:val="right" w:leader="dot" w:pos="9360"/>
        </w:tabs>
      </w:pPr>
      <w:r>
        <w:t>17. Learner projections and native binding</w:t>
      </w:r>
      <w:r>
        <w:tab/>
        <w:t>20</w:t>
      </w:r>
    </w:p>
    <w:p>
      <w:pPr>
        <w:pStyle w:val="TOC1"/>
        <w:tabs>
          <w:tab w:val="right" w:leader="dot" w:pos="9360"/>
        </w:tabs>
      </w:pPr>
      <w:r>
        <w:t>PART 4: Publication, search, and operational safety</w:t>
      </w:r>
      <w:r>
        <w:tab/>
        <w:t>21</w:t>
      </w:r>
    </w:p>
    <w:p>
      <w:pPr>
        <w:pStyle w:val="TOC2"/>
        <w:tabs>
          <w:tab w:val="right" w:leader="dot" w:pos="9360"/>
        </w:tabs>
      </w:pPr>
      <w:r>
        <w:t>18. Publication model and export contract</w:t>
      </w:r>
      <w:r>
        <w:tab/>
        <w:t>21</w:t>
      </w:r>
    </w:p>
    <w:p>
      <w:pPr>
        <w:pStyle w:val="TOC2"/>
        <w:tabs>
          <w:tab w:val="right" w:leader="dot" w:pos="9360"/>
        </w:tabs>
      </w:pPr>
      <w:r>
        <w:t>19. Search, browser navigation, and supporting integrations</w:t>
      </w:r>
      <w:r>
        <w:tab/>
        <w:t>23</w:t>
      </w:r>
    </w:p>
    <w:p>
      <w:pPr>
        <w:pStyle w:val="TOC1"/>
        <w:tabs>
          <w:tab w:val="right" w:leader="dot" w:pos="9360"/>
        </w:tabs>
      </w:pPr>
      <w:r>
        <w:t>PART 5: Building, testing, diagnosis, and release</w:t>
      </w:r>
      <w:r>
        <w:tab/>
        <w:t>24</w:t>
      </w:r>
    </w:p>
    <w:p>
      <w:pPr>
        <w:pStyle w:val="TOC2"/>
        <w:tabs>
          <w:tab w:val="right" w:leader="dot" w:pos="9360"/>
        </w:tabs>
      </w:pPr>
      <w:r>
        <w:t>20. Build environment and source layout</w:t>
      </w:r>
      <w:r>
        <w:tab/>
        <w:t>24</w:t>
      </w:r>
    </w:p>
    <w:p>
      <w:pPr>
        <w:pStyle w:val="TOC2"/>
        <w:tabs>
          <w:tab w:val="right" w:leader="dot" w:pos="9360"/>
        </w:tabs>
      </w:pPr>
      <w:r>
        <w:t>21. Meaningful test selection and execution</w:t>
      </w:r>
      <w:r>
        <w:tab/>
        <w:t>25</w:t>
      </w:r>
    </w:p>
    <w:p>
      <w:pPr>
        <w:pStyle w:val="TOC2"/>
        <w:tabs>
          <w:tab w:val="right" w:leader="dot" w:pos="9360"/>
        </w:tabs>
      </w:pPr>
      <w:r>
        <w:t>22. Package, deploy, and verify extracted copies</w:t>
      </w:r>
      <w:r>
        <w:tab/>
        <w:t>26</w:t>
      </w:r>
    </w:p>
    <w:p>
      <w:pPr>
        <w:pStyle w:val="TOC2"/>
        <w:tabs>
          <w:tab w:val="right" w:leader="dot" w:pos="9360"/>
        </w:tabs>
      </w:pPr>
      <w:r>
        <w:t>23. Diagnose failures at their owning layer</w:t>
      </w:r>
      <w:r>
        <w:tab/>
        <w:t>28</w:t>
      </w:r>
    </w:p>
    <w:p>
      <w:pPr>
        <w:pStyle w:val="TOC2"/>
        <w:tabs>
          <w:tab w:val="right" w:leader="dot" w:pos="9360"/>
        </w:tabs>
      </w:pPr>
      <w:r>
        <w:t>24. Maintain documentation as an engineering artifact</w:t>
      </w:r>
      <w:r>
        <w:tab/>
        <w:t>29</w:t>
      </w:r>
    </w:p>
    <w:p>
      <w:pPr>
        <w:pStyle w:val="TOC1"/>
        <w:tabs>
          <w:tab w:val="right" w:leader="dot" w:pos="9360"/>
        </w:tabs>
      </w:pPr>
      <w:r>
        <w:t>PART 6: Technical reference</w:t>
      </w:r>
      <w:r>
        <w:tab/>
        <w:t>30</w:t>
      </w:r>
    </w:p>
    <w:p>
      <w:pPr>
        <w:pStyle w:val="TOC2"/>
        <w:tabs>
          <w:tab w:val="right" w:leader="dot" w:pos="9360"/>
        </w:tabs>
      </w:pPr>
      <w:r>
        <w:t>25. Source units and public contracts</w:t>
      </w:r>
      <w:r>
        <w:tab/>
        <w:t>30</w:t>
      </w:r>
    </w:p>
    <w:p>
      <w:pPr>
        <w:pStyle w:val="TOC2"/>
        <w:tabs>
          <w:tab w:val="right" w:leader="dot" w:pos="9360"/>
        </w:tabs>
      </w:pPr>
      <w:r>
        <w:t>26. Persisted schema and migration reference</w:t>
      </w:r>
      <w:r>
        <w:tab/>
        <w:t>48</w:t>
      </w:r>
    </w:p>
    <w:p>
      <w:pPr>
        <w:pStyle w:val="TOC2"/>
        <w:tabs>
          <w:tab w:val="right" w:leader="dot" w:pos="9360"/>
        </w:tabs>
      </w:pPr>
      <w:r>
        <w:t>27. Engineering change and release checklists</w:t>
      </w:r>
      <w:r>
        <w:tab/>
        <w:t>56</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help a beginner understand one unfamiliar Delphi application. It reads project, source and form material; persists captured facts and attributed knowledge; presents understandable learning routes;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learner route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It should not perform every expensive optional report merely because the form has serialized tabs for them. Build deeper projections on demand for their active destination.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native preview opens learning.html, the same learner route recipients should begin with. A consistent technical index does not establish human instructional quality. Test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Fit, native-pixel and custom zoom modes change the display transform.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Beginner explanation model</w:t>
      </w:r>
    </w:p>
    <w:p>
      <w:r>
        <w:t>TDPHExplanationModel.ApplicationRouteHTML generates four primary pages for the selected application: Meet this app, Learn a real task, Explore related tasks and Resolve unknowns. It combines source-derived forms and action links with that application's attributed profile, structured tasks, teaching cards and open author questions. Its task order uses saved learning order, then path and title. Absent instructions remain explicit gaps; an event binding alone is never presented as a verified task. The older generic LessonHTML topics remain supporting code, not the main learner route.</w:t>
      </w:r>
    </w:p>
    <w:p>
      <w:r>
        <w:t>ObjectLessonHTML introduces role and relevant purpose, actual conditions and bounded next connections, then keeps the deeper code walkthrough optional. ObjectText provides a native text route from the same explanatory model. The renderer must not turn an unlinked application-wide note into every object's purpose. It must exclude rejected or retired content and preserve unresolved questions. The native list of four routes is serialized in DPH.UI.Main.fmx so ordinary labels remain IDE-editable.</w:t>
      </w:r>
    </w:p>
    <w:p>
      <w:pPr>
        <w:pStyle w:val="Heading3"/>
      </w:pPr>
      <w:r>
        <w:t>17.3. Lazy optional reports</w:t>
      </w:r>
    </w:p>
    <w:p>
      <w:r>
        <w:t>WorkspacePageChange chooses the active projection. Report generation for hidden specialist tabs should not delay opening the ordinary learner route. Refresh routines must distinguish loading the base view from building graphs,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learning.html presents the selected application's four-part learner route, authored tasks, examples, questions, terms and supplied images. The generated User Guide follows those same four parts. Hash-named object pages provide linked explanations with optional source detail. index.html and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four main pages use that project's own forms and action links, and confirms that no OrderPractice lessons are imported. Its native WebView2 path checks the route title, internal links, text fallback and compact layout. The test writes screenshots into its disposable workspace so validation does not overwrite the published manuals' images.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desktop package is intended to contain DelphiProjectHandoff.exe, DPH.ValidateHandoff.exe, WebView2Loader.dll, migrations, help, current guides and directions, Databases instructions and required licenses. It does not include the OrderPractice developer fixture, an owner .dphdb, private document copies or reference-project working stores. A previously created package remains a historical build; rebuild only after its documentation and executable agree.</w:t>
      </w:r>
    </w:p>
    <w:p>
      <w:r>
        <w:t>The source archive may include developer fixtures and tests for reproducibility. Their presence does not authorize the application to offer a generic practice lesson or imply that a fixture's behavior applies to the selected target.</w:t>
      </w:r>
    </w:p>
    <w:p>
      <w:pPr>
        <w:pStyle w:val="Heading3"/>
      </w:pPr>
      <w:r>
        <w:t>22.2. Run the packager deliberately</w:t>
      </w:r>
    </w:p>
    <w:p>
      <w:pPr>
        <w:keepLines/>
        <w:ind w:left="317" w:hanging="317"/>
      </w:pPr>
      <w:r>
        <w:rPr>
          <w:b/>
        </w:rPr>
        <w:t xml:space="preserve">1. </w:t>
      </w:r>
      <w:r>
        <w:t>Complete the relevant code/document validation and build current application and validator executables.</w:t>
      </w:r>
    </w:p>
    <w:p>
      <w:pPr>
        <w:keepLines/>
        <w:ind w:left="317" w:hanging="317"/>
      </w:pPr>
      <w:r>
        <w:rPr>
          <w:b/>
        </w:rPr>
        <w:t xml:space="preserve">2. </w:t>
      </w:r>
      <w:r>
        <w:t>Stage the intended new source/sample/guide files. The source packager enumerates git ls-files, so unstaged new files are otherwise absent from that list.</w:t>
      </w:r>
    </w:p>
    <w:p>
      <w:pPr>
        <w:keepLines/>
        <w:ind w:left="317" w:hanging="317"/>
      </w:pPr>
      <w:r>
        <w:rPr>
          <w:b/>
        </w:rPr>
        <w:t xml:space="preserve">3. </w:t>
      </w:r>
      <w:r>
        <w:t>Run tools\package-dph.ps1 with a fresh semantic Version value through PowerShell. It refuses an existing staging directory or ZIP.</w:t>
      </w:r>
    </w:p>
    <w:p>
      <w:pPr>
        <w:keepLines/>
        <w:ind w:left="317" w:hanging="317"/>
      </w:pPr>
      <w:r>
        <w:rPr>
          <w:b/>
        </w:rPr>
        <w:t xml:space="preserve">4. </w:t>
      </w:r>
      <w:r>
        <w:t>Read docs/validation/reports/learning-distribution-validation.json and verify the recorded ZIP hashes and extracted-file checks.</w:t>
      </w:r>
    </w:p>
    <w:p>
      <w:pPr>
        <w:keepLines/>
        <w:ind w:left="317" w:hanging="317"/>
      </w:pPr>
      <w:r>
        <w:rPr>
          <w:b/>
        </w:rPr>
        <w:t xml:space="preserve">5. </w:t>
      </w:r>
      <w:r>
        <w:t>Retain the ready-to-run folder under bin\distribution and the binary ZIP under export. Keep the source ZIP under source distributions.</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the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its four-part route names that project without importing unrelated lessons.</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person can extract, open, choose an unfamiliar application, follow its four-part route, identify an authored task or a missing explanation, save progress, choose another application, interpret source connections, prepare each contribution type, review it and share it. Include exact actions, examples, expected results, field limits and recovery instructions where applicable.</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25.11.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25.12.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25.13.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25.14.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25.15.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25.16.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25.17.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25.18.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25.19.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25.20.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25.21.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25.22.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25.23.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25.24.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25.25.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25.26.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25.27.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25.28.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25.29.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25.30.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25.31.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25.32.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25.33.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FullScanClick(Sender: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procedure OpenSelection(const AEntry,ADatabase: string);</w:t>
      </w:r>
    </w:p>
    <w:p>
      <w:pPr>
        <w:spacing w:after="40" w:line="247" w:lineRule="auto"/>
      </w:pPr>
      <w:r>
        <w:rPr>
          <w:rFonts w:ascii="Consolas" w:hAnsi="Consolas"/>
          <w:sz w:val="18"/>
        </w:rPr>
        <w:t>procedure LoadView(ADocument: TJSONObject);</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25.35.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25.37.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25.38.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25.39.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25.40.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25.41.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25.42.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25.43.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25.44.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25.45.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25.46.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25.47.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25.48.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25.49.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class function Reconstruct(AView: TDPHWorkspaceView; const AFile: string): TJSONObject;</w:t>
      </w:r>
    </w:p>
    <w:p>
      <w:pPr>
        <w:spacing w:after="40" w:line="247" w:lineRule="auto"/>
      </w:pPr>
      <w:r>
        <w:rPr>
          <w:rFonts w:ascii="Consolas" w:hAnsi="Consolas"/>
          <w:sz w:val="18"/>
        </w:rPr>
        <w:t>class function Gallery(AView: TDPHWorkspaceView): TJSONObject;</w:t>
      </w:r>
    </w:p>
    <w:p>
      <w:pPr>
        <w:pStyle w:val="Heading3"/>
      </w:pPr>
      <w:r>
        <w:t>25.50.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25.51.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p>
      <w:r>
        <w:t>Expected result: the delivered files are reproducible, usable as learning material and supported by evidence that applies to the exact package. Independent learner acceptance remains a separate observed result and should be reported honestly when not performed.</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44  |  13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