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12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2"/>
        </w:rPr>
        <w:t>Architecture and boundaries</w:t>
      </w:r>
      <w:r>
        <w:rPr>
          <w:sz w:val="22"/>
        </w:rPr>
        <w:tab/>
        <w:t>4</w:t>
      </w:r>
    </w:p>
    <w:p>
      <w:pPr>
        <w:spacing w:after="0" w:line="240" w:lineRule="auto"/>
        <w:tabs>
          <w:tab w:val="right" w:leader="dot" w:pos="9360"/>
        </w:tabs>
      </w:pPr>
      <w:r>
        <w:rPr>
          <w:sz w:val="22"/>
        </w:rPr>
        <w:t>Rework and acceptance status</w:t>
      </w:r>
      <w:r>
        <w:rPr>
          <w:sz w:val="22"/>
        </w:rPr>
        <w:tab/>
        <w:t>4</w:t>
      </w:r>
    </w:p>
    <w:p>
      <w:pPr>
        <w:spacing w:after="0" w:line="240" w:lineRule="auto"/>
        <w:tabs>
          <w:tab w:val="right" w:leader="dot" w:pos="9360"/>
        </w:tabs>
      </w:pPr>
      <w:r>
        <w:rPr>
          <w:sz w:val="22"/>
        </w:rPr>
        <w:t>Build and deployment</w:t>
      </w:r>
      <w:r>
        <w:rPr>
          <w:sz w:val="22"/>
        </w:rPr>
        <w:tab/>
        <w:t>4</w:t>
      </w:r>
    </w:p>
    <w:p>
      <w:pPr>
        <w:spacing w:after="0" w:line="240" w:lineRule="auto"/>
        <w:tabs>
          <w:tab w:val="right" w:leader="dot" w:pos="9360"/>
        </w:tabs>
      </w:pPr>
      <w:r>
        <w:rPr>
          <w:sz w:val="22"/>
        </w:rPr>
        <w:t>Input acquisition and project scope</w:t>
      </w:r>
      <w:r>
        <w:rPr>
          <w:sz w:val="22"/>
        </w:rPr>
        <w:tab/>
        <w:t>5</w:t>
      </w:r>
    </w:p>
    <w:p>
      <w:pPr>
        <w:spacing w:after="0" w:line="240" w:lineRule="auto"/>
        <w:tabs>
          <w:tab w:val="right" w:leader="dot" w:pos="9360"/>
        </w:tabs>
      </w:pPr>
      <w:r>
        <w:rPr>
          <w:sz w:val="22"/>
        </w:rPr>
        <w:t>Syntax contracts and limits</w:t>
      </w:r>
      <w:r>
        <w:rPr>
          <w:sz w:val="22"/>
        </w:rPr>
        <w:tab/>
        <w:t>5</w:t>
      </w:r>
    </w:p>
    <w:p>
      <w:pPr>
        <w:spacing w:after="0" w:line="240" w:lineRule="auto"/>
        <w:tabs>
          <w:tab w:val="right" w:leader="dot" w:pos="9360"/>
        </w:tabs>
      </w:pPr>
      <w:r>
        <w:rPr>
          <w:sz w:val="22"/>
        </w:rPr>
        <w:t>Symbols and typed relationships</w:t>
      </w:r>
      <w:r>
        <w:rPr>
          <w:sz w:val="22"/>
        </w:rPr>
        <w:tab/>
        <w:t>5</w:t>
      </w:r>
    </w:p>
    <w:p>
      <w:pPr>
        <w:spacing w:after="0" w:line="240" w:lineRule="auto"/>
        <w:tabs>
          <w:tab w:val="right" w:leader="dot" w:pos="9360"/>
        </w:tabs>
      </w:pPr>
      <w:r>
        <w:rPr>
          <w:sz w:val="22"/>
        </w:rPr>
        <w:t>Control flow and impact</w:t>
      </w:r>
      <w:r>
        <w:rPr>
          <w:sz w:val="22"/>
        </w:rPr>
        <w:tab/>
        <w:t>6</w:t>
      </w:r>
    </w:p>
    <w:p>
      <w:pPr>
        <w:spacing w:after="0" w:line="240" w:lineRule="auto"/>
        <w:tabs>
          <w:tab w:val="right" w:leader="dot" w:pos="9360"/>
        </w:tabs>
      </w:pPr>
      <w:r>
        <w:rPr>
          <w:sz w:val="22"/>
        </w:rPr>
        <w:t>SQLite generations and durability</w:t>
      </w:r>
      <w:r>
        <w:rPr>
          <w:sz w:val="22"/>
        </w:rPr>
        <w:tab/>
        <w:t>6</w:t>
      </w:r>
    </w:p>
    <w:p>
      <w:pPr>
        <w:spacing w:after="0" w:line="240" w:lineRule="auto"/>
        <w:tabs>
          <w:tab w:val="right" w:leader="dot" w:pos="9360"/>
        </w:tabs>
      </w:pPr>
      <w:r>
        <w:rPr>
          <w:sz w:val="22"/>
        </w:rPr>
        <w:t>Evidence and immutable history</w:t>
      </w:r>
      <w:r>
        <w:rPr>
          <w:sz w:val="22"/>
        </w:rPr>
        <w:tab/>
        <w:t>6</w:t>
      </w:r>
    </w:p>
    <w:p>
      <w:pPr>
        <w:spacing w:after="0" w:line="240" w:lineRule="auto"/>
        <w:tabs>
          <w:tab w:val="right" w:leader="dot" w:pos="9360"/>
        </w:tabs>
      </w:pPr>
      <w:r>
        <w:rPr>
          <w:sz w:val="22"/>
        </w:rPr>
        <w:t>Background coordination and cached views</w:t>
      </w:r>
      <w:r>
        <w:rPr>
          <w:sz w:val="22"/>
        </w:rPr>
        <w:tab/>
        <w:t>7</w:t>
      </w:r>
    </w:p>
    <w:p>
      <w:pPr>
        <w:spacing w:after="0" w:line="240" w:lineRule="auto"/>
        <w:tabs>
          <w:tab w:val="right" w:leader="dot" w:pos="9360"/>
        </w:tabs>
      </w:pPr>
      <w:r>
        <w:rPr>
          <w:sz w:val="22"/>
        </w:rPr>
        <w:t>FMX navigation and visualization</w:t>
      </w:r>
      <w:r>
        <w:rPr>
          <w:sz w:val="22"/>
        </w:rPr>
        <w:tab/>
        <w:t>7</w:t>
      </w:r>
    </w:p>
    <w:p>
      <w:pPr>
        <w:spacing w:after="0" w:line="240" w:lineRule="auto"/>
        <w:tabs>
          <w:tab w:val="right" w:leader="dot" w:pos="9360"/>
        </w:tabs>
      </w:pPr>
      <w:r>
        <w:rPr>
          <w:sz w:val="22"/>
        </w:rPr>
        <w:t>Curated knowledge and review</w:t>
      </w:r>
      <w:r>
        <w:rPr>
          <w:sz w:val="22"/>
        </w:rPr>
        <w:tab/>
        <w:t>7</w:t>
      </w:r>
    </w:p>
    <w:p>
      <w:pPr>
        <w:spacing w:after="0" w:line="240" w:lineRule="auto"/>
        <w:tabs>
          <w:tab w:val="right" w:leader="dot" w:pos="9360"/>
        </w:tabs>
      </w:pPr>
      <w:r>
        <w:rPr>
          <w:sz w:val="22"/>
        </w:rPr>
        <w:t>Canonical publication and privacy</w:t>
      </w:r>
      <w:r>
        <w:rPr>
          <w:sz w:val="22"/>
        </w:rPr>
        <w:tab/>
        <w:t>8</w:t>
      </w:r>
    </w:p>
    <w:p>
      <w:pPr>
        <w:spacing w:after="0" w:line="240" w:lineRule="auto"/>
        <w:tabs>
          <w:tab w:val="right" w:leader="dot" w:pos="9360"/>
        </w:tabs>
      </w:pPr>
      <w:r>
        <w:rPr>
          <w:sz w:val="22"/>
        </w:rPr>
        <w:t>HTML guides and bundle validation</w:t>
      </w:r>
      <w:r>
        <w:rPr>
          <w:sz w:val="22"/>
        </w:rPr>
        <w:tab/>
        <w:t>8</w:t>
      </w:r>
    </w:p>
    <w:p>
      <w:pPr>
        <w:spacing w:after="0" w:line="240" w:lineRule="auto"/>
        <w:tabs>
          <w:tab w:val="right" w:leader="dot" w:pos="9360"/>
        </w:tabs>
      </w:pPr>
      <w:r>
        <w:rPr>
          <w:sz w:val="22"/>
        </w:rPr>
        <w:t>Translation boundary</w:t>
      </w:r>
      <w:r>
        <w:rPr>
          <w:sz w:val="22"/>
        </w:rPr>
        <w:tab/>
        <w:t>9</w:t>
      </w:r>
    </w:p>
    <w:p>
      <w:pPr>
        <w:spacing w:after="0" w:line="240" w:lineRule="auto"/>
        <w:tabs>
          <w:tab w:val="right" w:leader="dot" w:pos="9360"/>
        </w:tabs>
      </w:pPr>
      <w:r>
        <w:rPr>
          <w:sz w:val="22"/>
        </w:rPr>
        <w:t>Verification and release discipline</w:t>
      </w:r>
      <w:r>
        <w:rPr>
          <w:sz w:val="22"/>
        </w:rPr>
        <w:tab/>
        <w:t>9</w:t>
      </w:r>
    </w:p>
    <w:p>
      <w:pPr>
        <w:spacing w:after="0" w:line="240" w:lineRule="auto"/>
        <w:tabs>
          <w:tab w:val="right" w:leader="dot" w:pos="9360"/>
        </w:tabs>
      </w:pPr>
      <w:r>
        <w:rPr>
          <w:sz w:val="22"/>
        </w:rPr>
        <w:t>Current semantic cache and extended evidence</w:t>
      </w:r>
      <w:r>
        <w:rPr>
          <w:sz w:val="22"/>
        </w:rPr>
        <w:tab/>
        <w:t>9</w:t>
      </w:r>
    </w:p>
    <w:p>
      <w:pPr>
        <w:spacing w:after="0" w:line="240" w:lineRule="auto"/>
        <w:tabs>
          <w:tab w:val="right" w:leader="dot" w:pos="9360"/>
        </w:tabs>
      </w:pPr>
      <w:r>
        <w:rPr>
          <w:sz w:val="22"/>
        </w:rPr>
        <w:t>Current schema and authored document contracts</w:t>
      </w:r>
      <w:r>
        <w:rPr>
          <w:sz w:val="22"/>
        </w:rPr>
        <w:tab/>
        <w:t>10</w:t>
      </w:r>
    </w:p>
    <w:p>
      <w:pPr>
        <w:spacing w:after="0" w:line="240" w:lineRule="auto"/>
        <w:tabs>
          <w:tab w:val="right" w:leader="dot" w:pos="9360"/>
        </w:tabs>
      </w:pPr>
      <w:r>
        <w:rPr>
          <w:sz w:val="22"/>
        </w:rPr>
        <w:t>Native review and learning projections</w:t>
      </w:r>
      <w:r>
        <w:rPr>
          <w:sz w:val="22"/>
        </w:rPr>
        <w:tab/>
        <w:t>10</w:t>
      </w:r>
    </w:p>
    <w:p>
      <w:pPr>
        <w:spacing w:after="0" w:line="240" w:lineRule="auto"/>
        <w:tabs>
          <w:tab w:val="right" w:leader="dot" w:pos="9360"/>
        </w:tabs>
      </w:pPr>
      <w:r>
        <w:rPr>
          <w:sz w:val="22"/>
        </w:rPr>
        <w:t>Saved observation persistence</w:t>
      </w:r>
      <w:r>
        <w:rPr>
          <w:sz w:val="22"/>
        </w:rPr>
        <w:tab/>
        <w:t>10</w:t>
      </w:r>
    </w:p>
    <w:p>
      <w:pPr>
        <w:spacing w:after="0" w:line="240" w:lineRule="auto"/>
        <w:tabs>
          <w:tab w:val="right" w:leader="dot" w:pos="9360"/>
        </w:tabs>
      </w:pPr>
      <w:r>
        <w:rPr>
          <w:sz w:val="22"/>
        </w:rPr>
        <w:t>Regression commands and evidence</w:t>
      </w:r>
      <w:r>
        <w:rPr>
          <w:sz w:val="22"/>
        </w:rPr>
        <w:tab/>
        <w:t>11</w:t>
      </w:r>
    </w:p>
    <w:p>
      <w:pPr>
        <w:spacing w:after="0" w:line="240" w:lineRule="auto"/>
        <w:tabs>
          <w:tab w:val="right" w:leader="dot" w:pos="9360"/>
        </w:tabs>
      </w:pPr>
      <w:r>
        <w:rPr>
          <w:sz w:val="22"/>
        </w:rPr>
        <w:t>Rebuild and inspect these manuals</w:t>
      </w:r>
      <w:r>
        <w:rPr>
          <w:sz w:val="22"/>
        </w:rPr>
        <w:tab/>
        <w:t>11</w:t>
      </w:r>
    </w:p>
    <w:p>
      <w:pPr>
        <w:spacing w:after="0" w:line="240" w:lineRule="auto"/>
        <w:tabs>
          <w:tab w:val="right" w:leader="dot" w:pos="9360"/>
        </w:tabs>
      </w:pPr>
      <w:r>
        <w:rPr>
          <w:sz w:val="22"/>
        </w:rPr>
        <w:t>Business glossary implementation and checks</w:t>
      </w:r>
      <w:r>
        <w:rPr>
          <w:sz w:val="22"/>
        </w:rPr>
        <w:tab/>
        <w:t>12</w:t>
      </w:r>
    </w:p>
    <w:p>
      <w:pPr>
        <w:spacing w:after="0" w:line="240" w:lineRule="auto"/>
        <w:tabs>
          <w:tab w:val="right" w:leader="dot" w:pos="9360"/>
        </w:tabs>
      </w:pPr>
      <w:r>
        <w:rPr>
          <w:sz w:val="22"/>
        </w:rPr>
        <w:t>Offline translation and localized publication</w:t>
      </w:r>
      <w:r>
        <w:rPr>
          <w:sz w:val="22"/>
        </w:rPr>
        <w:tab/>
        <w:t>12</w:t>
      </w:r>
    </w:p>
    <w:p>
      <w:pPr>
        <w:spacing w:after="0" w:line="240" w:lineRule="auto"/>
        <w:tabs>
          <w:tab w:val="right" w:leader="dot" w:pos="9360"/>
        </w:tabs>
      </w:pPr>
      <w:r>
        <w:rPr>
          <w:sz w:val="22"/>
        </w:rPr>
        <w:t>Native validation and release evidence</w:t>
      </w:r>
      <w:r>
        <w:rPr>
          <w:sz w:val="22"/>
        </w:rPr>
        <w:tab/>
        <w:t>13</w:t>
      </w:r>
    </w:p>
    <w:p>
      <w:pPr>
        <w:spacing w:after="0" w:line="240" w:lineRule="auto"/>
        <w:tabs>
          <w:tab w:val="right" w:leader="dot" w:pos="9360"/>
        </w:tabs>
      </w:pPr>
      <w:r>
        <w:rPr>
          <w:sz w:val="22"/>
        </w:rPr>
        <w:t>Structured project profile contract</w:t>
      </w:r>
      <w:r>
        <w:rPr>
          <w:sz w:val="22"/>
        </w:rPr>
        <w:tab/>
        <w:t>13</w:t>
      </w:r>
    </w:p>
    <w:p>
      <w:pPr>
        <w:spacing w:after="0" w:line="240" w:lineRule="auto"/>
        <w:tabs>
          <w:tab w:val="right" w:leader="dot" w:pos="9360"/>
        </w:tabs>
      </w:pPr>
      <w:r>
        <w:rPr>
          <w:sz w:val="22"/>
        </w:rPr>
        <w:t>Quality analysis and revision comparison</w:t>
      </w:r>
      <w:r>
        <w:rPr>
          <w:sz w:val="22"/>
        </w:rPr>
        <w:tab/>
        <w:t>14</w:t>
      </w:r>
    </w:p>
    <w:p>
      <w:pPr>
        <w:spacing w:after="0" w:line="240" w:lineRule="auto"/>
        <w:tabs>
          <w:tab w:val="right" w:leader="dot" w:pos="9360"/>
        </w:tabs>
      </w:pPr>
      <w:r>
        <w:rPr>
          <w:sz w:val="22"/>
        </w:rPr>
        <w:t>Keyboard inspector implementation and validation</w:t>
      </w:r>
      <w:r>
        <w:rPr>
          <w:sz w:val="22"/>
        </w:rPr>
        <w:tab/>
        <w:t>14</w:t>
      </w:r>
    </w:p>
    <w:p>
      <w:pPr>
        <w:pageBreakBefore/>
        <w:spacing w:after="0" w:line="240" w:lineRule="auto"/>
        <w:tabs>
          <w:tab w:val="right" w:leader="dot" w:pos="9360"/>
        </w:tabs>
      </w:pPr>
      <w:r>
        <w:rPr>
          <w:sz w:val="22"/>
        </w:rPr>
        <w:t>Command inventory implementation and validation</w:t>
      </w:r>
      <w:r>
        <w:rPr>
          <w:sz w:val="22"/>
        </w:rPr>
        <w:tab/>
        <w:t>15</w:t>
      </w:r>
    </w:p>
    <w:p>
      <w:pPr>
        <w:spacing w:after="0" w:line="240" w:lineRule="auto"/>
        <w:tabs>
          <w:tab w:val="right" w:leader="dot" w:pos="9360"/>
        </w:tabs>
      </w:pPr>
      <w:r>
        <w:rPr>
          <w:sz w:val="22"/>
        </w:rPr>
        <w:t>Dynamic control relationships and validation</w:t>
      </w:r>
      <w:r>
        <w:rPr>
          <w:sz w:val="22"/>
        </w:rPr>
        <w:tab/>
        <w:t>15</w:t>
      </w:r>
    </w:p>
    <w:p>
      <w:pPr>
        <w:spacing w:after="0" w:line="240" w:lineRule="auto"/>
        <w:tabs>
          <w:tab w:val="right" w:leader="dot" w:pos="9360"/>
        </w:tabs>
      </w:pPr>
      <w:r>
        <w:rPr>
          <w:sz w:val="22"/>
        </w:rPr>
        <w:t>Layout rule explanations and validation</w:t>
      </w:r>
      <w:r>
        <w:rPr>
          <w:sz w:val="22"/>
        </w:rPr>
        <w:tab/>
        <w:t>15</w:t>
      </w:r>
    </w:p>
    <w:p>
      <w:pPr>
        <w:spacing w:after="0" w:line="240" w:lineRule="auto"/>
        <w:tabs>
          <w:tab w:val="right" w:leader="dot" w:pos="9360"/>
        </w:tabs>
      </w:pPr>
      <w:r>
        <w:rPr>
          <w:sz w:val="22"/>
        </w:rPr>
        <w:t>Component dependencies and attributed metadata</w:t>
      </w:r>
      <w:r>
        <w:rPr>
          <w:sz w:val="22"/>
        </w:rPr>
        <w:tab/>
        <w:t>16</w:t>
      </w:r>
    </w:p>
    <w:p>
      <w:pPr>
        <w:spacing w:after="0" w:line="240" w:lineRule="auto"/>
        <w:tabs>
          <w:tab w:val="right" w:leader="dot" w:pos="9360"/>
        </w:tabs>
      </w:pPr>
      <w:r>
        <w:rPr>
          <w:sz w:val="22"/>
        </w:rPr>
        <w:t>Resolve form inheritance and frame overlays</w:t>
      </w:r>
      <w:r>
        <w:rPr>
          <w:sz w:val="22"/>
        </w:rPr>
        <w:tab/>
        <w:t>17</w:t>
      </w:r>
    </w:p>
    <w:p>
      <w:pPr>
        <w:spacing w:after="0" w:line="240" w:lineRule="auto"/>
        <w:tabs>
          <w:tab w:val="right" w:leader="dot" w:pos="9360"/>
        </w:tabs>
      </w:pPr>
      <w:r>
        <w:rPr>
          <w:sz w:val="22"/>
        </w:rPr>
        <w:t>Store attributed action purpose mappings</w:t>
      </w:r>
      <w:r>
        <w:rPr>
          <w:sz w:val="22"/>
        </w:rPr>
        <w:tab/>
        <w:t>17</w:t>
      </w:r>
    </w:p>
    <w:p>
      <w:pPr>
        <w:spacing w:after="0" w:line="240" w:lineRule="auto"/>
        <w:tabs>
          <w:tab w:val="right" w:leader="dot" w:pos="9360"/>
        </w:tabs>
      </w:pPr>
      <w:r>
        <w:rPr>
          <w:sz w:val="22"/>
        </w:rPr>
        <w:t>Compare attributed screen evidence and captured layouts</w:t>
      </w:r>
      <w:r>
        <w:rPr>
          <w:sz w:val="22"/>
        </w:rPr>
        <w:tab/>
        <w:t>18</w:t>
      </w:r>
    </w:p>
    <w:p>
      <w:pPr>
        <w:spacing w:after="0" w:line="240" w:lineRule="auto"/>
        <w:tabs>
          <w:tab w:val="right" w:leader="dot" w:pos="9360"/>
        </w:tabs>
      </w:pPr>
      <w:r>
        <w:rPr>
          <w:sz w:val="22"/>
        </w:rPr>
        <w:t>Build a safe captured database connection inventory</w:t>
      </w:r>
      <w:r>
        <w:rPr>
          <w:sz w:val="22"/>
        </w:rPr>
        <w:tab/>
        <w:t>18</w:t>
      </w:r>
    </w:p>
    <w:p>
      <w:pPr>
        <w:spacing w:after="0" w:line="240" w:lineRule="auto"/>
        <w:tabs>
          <w:tab w:val="right" w:leader="dot" w:pos="9360"/>
        </w:tabs>
      </w:pPr>
      <w:r>
        <w:rPr>
          <w:sz w:val="22"/>
        </w:rPr>
        <w:t>Derive captured database engine and version evidence</w:t>
      </w:r>
      <w:r>
        <w:rPr>
          <w:sz w:val="22"/>
        </w:rPr>
        <w:tab/>
        <w:t>19</w:t>
      </w:r>
    </w:p>
    <w:p>
      <w:pPr>
        <w:spacing w:after="0" w:line="240" w:lineRule="auto"/>
        <w:tabs>
          <w:tab w:val="right" w:leader="dot" w:pos="9360"/>
        </w:tabs>
      </w:pPr>
      <w:r>
        <w:rPr>
          <w:sz w:val="22"/>
        </w:rPr>
        <w:t>Inspect captured database schema evidence</w:t>
      </w:r>
      <w:r>
        <w:rPr>
          <w:sz w:val="22"/>
        </w:rPr>
        <w:tab/>
        <w:t>20</w:t>
      </w:r>
    </w:p>
    <w:p>
      <w:pPr>
        <w:spacing w:after="0" w:line="240" w:lineRule="auto"/>
        <w:tabs>
          <w:tab w:val="right" w:leader="dot" w:pos="9360"/>
        </w:tabs>
      </w:pPr>
      <w:r>
        <w:rPr>
          <w:sz w:val="22"/>
        </w:rPr>
        <w:t>Extract captured column declarations and constraint text</w:t>
      </w:r>
      <w:r>
        <w:rPr>
          <w:sz w:val="22"/>
        </w:rPr>
        <w:tab/>
        <w:t>20</w:t>
      </w:r>
    </w:p>
    <w:p>
      <w:pPr>
        <w:spacing w:after="0" w:line="240" w:lineRule="auto"/>
        <w:tabs>
          <w:tab w:val="right" w:leader="dot" w:pos="9360"/>
        </w:tabs>
      </w:pPr>
      <w:r>
        <w:rPr>
          <w:sz w:val="22"/>
        </w:rPr>
        <w:t>Resolve captured key membership and references</w:t>
      </w:r>
      <w:r>
        <w:rPr>
          <w:sz w:val="22"/>
        </w:rPr>
        <w:tab/>
        <w:t>21</w:t>
      </w:r>
    </w:p>
    <w:p>
      <w:pPr>
        <w:spacing w:after="0" w:line="240" w:lineRule="auto"/>
        <w:tabs>
          <w:tab w:val="right" w:leader="dot" w:pos="9360"/>
        </w:tabs>
      </w:pPr>
      <w:r>
        <w:rPr>
          <w:sz w:val="22"/>
        </w:rPr>
        <w:t>Capture index structures and SQL reference evidence</w:t>
      </w:r>
      <w:r>
        <w:rPr>
          <w:sz w:val="22"/>
        </w:rPr>
        <w:tab/>
        <w:t>22</w:t>
      </w:r>
    </w:p>
    <w:p>
      <w:pPr>
        <w:spacing w:after="0" w:line="240" w:lineRule="auto"/>
        <w:tabs>
          <w:tab w:val="right" w:leader="dot" w:pos="9360"/>
        </w:tabs>
      </w:pPr>
      <w:r>
        <w:rPr>
          <w:sz w:val="22"/>
        </w:rPr>
        <w:t>Capture stored-object definitions and dependencies</w:t>
      </w:r>
      <w:r>
        <w:rPr>
          <w:sz w:val="22"/>
        </w:rPr>
        <w:tab/>
        <w:t>23</w:t>
      </w:r>
    </w:p>
    <w:p>
      <w:pPr>
        <w:spacing w:after="0" w:line="240" w:lineRule="auto"/>
        <w:tabs>
          <w:tab w:val="right" w:leader="dot" w:pos="9360"/>
        </w:tabs>
      </w:pPr>
      <w:r>
        <w:rPr>
          <w:sz w:val="22"/>
        </w:rPr>
        <w:t>Project captured entity relationship metadata</w:t>
      </w:r>
      <w:r>
        <w:rPr>
          <w:sz w:val="22"/>
        </w:rPr>
        <w:tab/>
        <w:t>24</w:t>
      </w:r>
    </w:p>
    <w:p>
      <w:pPr>
        <w:spacing w:after="0" w:line="240" w:lineRule="auto"/>
        <w:tabs>
          <w:tab w:val="right" w:leader="dot" w:pos="9360"/>
        </w:tabs>
      </w:pPr>
      <w:r>
        <w:rPr>
          <w:sz w:val="22"/>
        </w:rPr>
        <w:t>Maintain attributed schema dictionaries</w:t>
      </w:r>
      <w:r>
        <w:rPr>
          <w:sz w:val="22"/>
        </w:rPr>
        <w:tab/>
        <w:t>25</w:t>
      </w:r>
    </w:p>
    <w:p>
      <w:pPr>
        <w:spacing w:after="0" w:line="240" w:lineRule="auto"/>
        <w:tabs>
          <w:tab w:val="right" w:leader="dot" w:pos="9360"/>
        </w:tabs>
      </w:pPr>
      <w:r>
        <w:rPr>
          <w:sz w:val="22"/>
        </w:rPr>
        <w:t>Resolve captured dataset and field bindings</w:t>
      </w:r>
      <w:r>
        <w:rPr>
          <w:sz w:val="22"/>
        </w:rPr>
        <w:tab/>
        <w:t>26</w:t>
      </w:r>
    </w:p>
    <w:p>
      <w:pPr>
        <w:spacing w:after="0" w:line="240" w:lineRule="auto"/>
        <w:tabs>
          <w:tab w:val="right" w:leader="dot" w:pos="9360"/>
        </w:tabs>
      </w:pPr>
      <w:r>
        <w:rPr>
          <w:sz w:val="22"/>
        </w:rPr>
        <w:t>Recognize captured database operation requests</w:t>
      </w:r>
      <w:r>
        <w:rPr>
          <w:sz w:val="22"/>
        </w:rPr>
        <w:tab/>
        <w:t>27</w:t>
      </w:r>
    </w:p>
    <w:p>
      <w:pPr>
        <w:spacing w:after="0" w:line="240" w:lineRule="auto"/>
        <w:tabs>
          <w:tab w:val="right" w:leader="dot" w:pos="9360"/>
        </w:tabs>
      </w:pPr>
      <w:r>
        <w:rPr>
          <w:sz w:val="22"/>
        </w:rPr>
        <w:t>Trace captured transaction boundaries</w:t>
      </w:r>
      <w:r>
        <w:rPr>
          <w:sz w:val="22"/>
        </w:rPr>
        <w:tab/>
        <w:t>27</w:t>
      </w:r>
    </w:p>
    <w:p>
      <w:pPr>
        <w:spacing w:after="0" w:line="240" w:lineRule="auto"/>
        <w:tabs>
          <w:tab w:val="right" w:leader="dot" w:pos="9360"/>
        </w:tabs>
      </w:pPr>
      <w:r>
        <w:rPr>
          <w:sz w:val="22"/>
        </w:rPr>
        <w:t>Capture field validation and transformation evidence</w:t>
      </w:r>
      <w:r>
        <w:rPr>
          <w:sz w:val="22"/>
        </w:rPr>
        <w:tab/>
        <w:t>28</w:t>
      </w:r>
    </w:p>
    <w:p>
      <w:pPr>
        <w:spacing w:after="0" w:line="240" w:lineRule="auto"/>
        <w:tabs>
          <w:tab w:val="right" w:leader="dot" w:pos="9360"/>
        </w:tabs>
      </w:pPr>
      <w:r>
        <w:rPr>
          <w:sz w:val="22"/>
        </w:rPr>
        <w:t>Connect source evidence into scoped lineage</w:t>
      </w:r>
      <w:r>
        <w:rPr>
          <w:sz w:val="22"/>
        </w:rPr>
        <w:tab/>
        <w:t>28</w:t>
      </w:r>
    </w:p>
    <w:p>
      <w:pPr>
        <w:spacing w:after="0" w:line="240" w:lineRule="auto"/>
        <w:tabs>
          <w:tab w:val="right" w:leader="dot" w:pos="9360"/>
        </w:tabs>
      </w:pPr>
      <w:r>
        <w:rPr>
          <w:sz w:val="22"/>
        </w:rPr>
        <w:t>Project captured migration and version evidence</w:t>
      </w:r>
      <w:r>
        <w:rPr>
          <w:sz w:val="22"/>
        </w:rPr>
        <w:tab/>
        <w:t>29</w:t>
      </w:r>
    </w:p>
    <w:p>
      <w:pPr>
        <w:spacing w:after="0" w:line="240" w:lineRule="auto"/>
        <w:tabs>
          <w:tab w:val="right" w:leader="dot" w:pos="9360"/>
        </w:tabs>
      </w:pPr>
      <w:r>
        <w:rPr>
          <w:sz w:val="22"/>
        </w:rPr>
        <w:t>Project captured file formats and contracts</w:t>
      </w:r>
      <w:r>
        <w:rPr>
          <w:sz w:val="22"/>
        </w:rPr>
        <w:tab/>
        <w:t>30</w:t>
      </w:r>
    </w:p>
    <w:p>
      <w:pPr>
        <w:spacing w:after="0" w:line="240" w:lineRule="auto"/>
        <w:tabs>
          <w:tab w:val="right" w:leader="dot" w:pos="9360"/>
        </w:tabs>
      </w:pPr>
      <w:r>
        <w:rPr>
          <w:sz w:val="22"/>
        </w:rPr>
        <w:t>Source and revision evidence</w:t>
      </w:r>
      <w:r>
        <w:rPr>
          <w:sz w:val="22"/>
        </w:rPr>
        <w:tab/>
        <w:t>30</w:t>
      </w:r>
    </w:p>
    <w:p>
      <w:pPr>
        <w:spacing w:before="0" w:after="0" w:line="20" w:lineRule="exact"/>
      </w:pPr>
      <w:r>
        <w:rPr>
          <w:sz w:val="2"/>
        </w:rPr>
        <w:fldChar w:fldCharType="end"/>
      </w:r>
    </w:p>
    <w:p>
      <w:pPr>
        <w:pStyle w:val="Heading1"/>
        <w:pageBreakBefore/>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DPH-WP2-6,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DPH-WP3-15.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DPH-WP2-6 and DPH-WP3-15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DPH-WP3-15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Resolve form inheritance and frame overlays</w:t>
      </w:r>
    </w:p>
    <w:p>
      <w:r>
        <w:t>DPH.Workspace.FormInheritance resolves an inherited root through its matching Pascal class and captured ancestor relationship to one captured base form. Class-to-form lookup uses the matching Pascal file stem and serialized root class. Qualified frame names disambiguate duplicate simple names. Custom resource mappings and aliases may remain unresolved. Conditional ancestry is not silently selected.</w:t>
      </w:r>
    </w:p>
    <w:p>
      <w:r>
        <w:t>The resolver copies base trees, matches inherited children by parent-local name and class, appends local property histories and expands inline frames independently. Root renaming preserves base children. Properties and events retain exact source/hash/range, condition and generation origins. Collection bodies retain serialized history but collection-item merging is explicitly unresolved. Missing bases, duplicate matches, partial forms, incompatible/orphan overlays and cycles are diagnosed.</w:t>
      </w:r>
    </w:p>
    <w:p>
      <w:r>
        <w:t>The IDE-editable main FMX page provides filter, 250-row pagination, an origin selector, source navigation and a scrollable explanation. Origin source uses the existing generation/fingerprint/root/text checks. Capture replacement clears borrowed rows and origin pointers. No storage schema changes, target instantiation or runtime UI construction were introduced. Existing form-design and other inspector qualifications remain in effect.</w:t>
      </w:r>
    </w:p>
    <w:p>
      <w:r>
        <w:t>Run tools\build-form-inheritance.cmd elevated. Controlled fixtures reuse bin/form-inheritance-validation and exercise actual text/binary DFM and FMX parsing, three-level form inheritance, inherited and separately overridden frames, qualified ambiguity, event nil, conditional/missing ancestry, cycles, provenance, cache equivalence, source safeguards and native compact layout. Work is bounded to 64 levels, 200000 component visits and 100000 output rows; gaps are capped at 10000 per selected form. Exceeded work/output bounds reject the overlay operation explicitly. Native PaintTo renders show DPH controls, not target screenshots.</w:t>
      </w:r>
    </w:p>
    <w:p>
      <w:pPr>
        <w:pStyle w:val="Heading1"/>
      </w:pPr>
      <w:r>
        <w:t>Store attributed action purpose mappings</w:t>
      </w:r>
    </w:p>
    <w:p>
      <w:r>
        <w:t>DPH.Workspace.ActionPurposes derives candidate targets from the captured source path and parent-local component path. A case-insensitive SHA256 identity is stable across parser node-number changes. Duplicate paths remain ambiguous and disable Edit and Explain. A unique captured component range supplies its semantic object key; no runtime action or business intent is inferred. Project tasks use a GUID identity and no object link. Unmatched saved UI targets remain historical or unresolved.</w:t>
      </w:r>
    </w:p>
    <w:p>
      <w:r>
        <w:t>DPH.Knowledge.ActionPurpose validates twelve bounded string fields, requires the name, purpose, steps, outcome and evidence, and derives the readable Knowledge body. DPH.Storage.Database preserves the record type, stable target identity, object scope, user_help kind, user document and user audience. Duplicate target records are refused, including retired identities. Ordinary Knowledge editing cannot discard structured fields; stale saves and reviews retain the existing concurrency protections.</w:t>
      </w:r>
    </w:p>
    <w:p>
      <w:r>
        <w:t>DPH.UI.ActionPurpose.fmx and the Action purposes tab in DPH.UI.Main.fmx serialize every native control for IDE editing. Apply prepares the existing Knowledge draft and preserves its exact evidence links; Save persists it. Named review appends a revision; subsequent edits reopen review. Search and publication use the same attributed Knowledge record. Existing storage migrations suffice; no new schema or runtime UI construction is required.</w:t>
      </w:r>
    </w:p>
    <w:p>
      <w:r>
        <w:t>Run tools/build-action-purposes.cmd elevated for parser, binary DFM, FMX, identity and ambiguity checks, database persistence, duplicate and stale protection, named review, history, search, exported bundle validation, HTML and user DOCX text, native editor Apply/Cancel, task drafts, filtering, pagination and compact layout. Fixtures reuse bin/action-purposes-validation. Native PaintTo images show real DPH controls; they are not screenshots of the analyzed application.</w:t>
      </w:r>
    </w:p>
    <w:p>
      <w:pPr>
        <w:pStyle w:val="Heading1"/>
      </w:pPr>
      <w:r>
        <w:t>Compare attributed screen evidence and captured layouts</w:t>
      </w:r>
    </w:p>
    <w:p>
      <w:r>
        <w:t>DPH.Workspace.ScreenHistory verifies managed PNG bytes against their saved image hashes, bounds each image and the union canvas to 16 million pixels with dimensions no greater than 8192 and encoded size no greater than 20 MiB, then decodes with the VCL PNG library on the worker. CPU bitmaps composite transparency on white and compare exact eight-bit RGB. No target form, class or executable is loaded. The report preserves image and metadata hashes, contributors, generation IDs, dimensions, counts and inclusive bounds; private managed paths are omitted.</w:t>
      </w:r>
    </w:p>
    <w:p>
      <w:r>
        <w:t>The screen_history worker command resolves screenshot IDs through the existing checksum-validated store. Optional layout comparison loads each image generation from its retained workspace cache. Missing or incompatible layout evidence yields layout_gap without discarding verified images. Parent-local component paths match captured classes and sorted inspector properties; duplicate identities are refused. Source offsets alone do not count as a change. Comparison supports 5000 components per form; all changes remain in the paged list, while previews draw at most 300 rectangles per side.</w:t>
      </w:r>
    </w:p>
    <w:p>
      <w:r>
        <w:t>DPH.UI.Main.fmx serializes the Screen history page, grid, image and paint controls, selectors, toolbar and details. Panels use client alignment in their grid cells. Source geometry is fitted on a common canvas in blue and orange. Request tokens plus the database identity prevent a late response from restoring evidence after a pair or path change. Processing and PNG comparison run in the existing worker; presentation uses FMX. No storage migration, runtime control construction or source mutation is required.</w:t>
      </w:r>
    </w:p>
    <w:p>
      <w:r>
        <w:t>Run tools/build-screen-history.cmd elevated for 73 checks covering exact pixels/bounds, transparency, size changes, altered bytes, union limits, text and binary DFM, FMX, parser/selection incompatibility, persisted image attribution, missing retained captures, native Compare, late-response rejection, pagination/filtering, swap, visible geometry and compact layout. Fixtures reuse bin/screen-history-validation. The owner catalog is restored after exercising cached open. Native PaintTo renders show actual DPH controls; controlled synthetic images do not establish target-runtime observations.</w:t>
      </w:r>
    </w:p>
    <w:p>
      <w:pPr>
        <w:pStyle w:val="Heading1"/>
      </w:pPr>
      <w:r>
        <w:t>Build a safe captured database connection inventory</w:t>
      </w:r>
    </w:p>
    <w:p>
      <w:r>
        <w:t>DPH.Workspace.DatabaseConnections projects captured text/binary DFM and FMX IR directly. A parent-property index joins database configuration and references to each candidate. An explicit class list covers common connection, dataset, data-source, transaction and session declarations; recognized property signals retain custom-class candidates without claiming vendor or runtime behavior. Existing component_field semantic relationships prevent duplicate Pascal field rows. Unmatched supported Pascal fields, variables and locals retain declaration evidence and unknown construction/configuration.</w:t>
      </w:r>
    </w:p>
    <w:p>
      <w:r>
        <w:t>Resolution uses source-local root and parent paths, explicitly qualified cross-form paths, expected target roles and captured logical aliases. There is no global short-name guess. Duplicate targets remain ambiguous. Named ConnectionDefName references share a definition row with explicit unavailable contents. Each row retains generation, source hash and range; exact outgoing and reverse IDs drive native Follow reference navigation. Missing inherited values, runtime assignments, factories and external definitions remain unknown. A 10000-row bound prevents an unbounded inventory.</w:t>
      </w:r>
    </w:p>
    <w:p>
      <w:r>
        <w:t>The projection never copies raw properties or source text into its configuration. Known parameter keys are retained with masked values; unknown keys use a generic label. Endpoints, credentials and entire connection strings remain masked. Only bounded identifiers for driver/protocol/dialect/charset/SSL, valid ports and explicit booleans are visible. Unsupported reference expressions are masked. Original captured source and caches are unchanged and may contain secrets; this feature is not a comprehensive secret-removal claim for the rest of DPH. No target driver, component class or database connection is created.</w:t>
      </w:r>
    </w:p>
    <w:p>
      <w:r>
        <w:t>DPH.UI.Main.fmx serializes every page control for the IDE and Object Inspector: purpose, horizontally scrolling toolbar, kind/text filters, paging, link selector, Follow reference, resizable list, labeled memo and status. LoadView rebuilds the projection for the accepted generation; ClearWorkspace discards borrowed rows before releasing their owner. Follow selects the exact target page after clearing filters. Compact validation requires a visible evidence area. Existing storage schema and analyzer contracts suffice.</w:t>
      </w:r>
    </w:p>
    <w:p>
      <w:r>
        <w:t>Run tools/build-database-connections.cmd elevated for 66 checks using real text/binary DFM, FMX and Pascal declarations, persisted/reopened captures, local/nested/cross-module links, aliases, duplicate and missing targets, sensitive canaries, validated settings, native paging/filtering/follow/empty states, capture replacement, compact layout and unchanged source/owner catalog. Fixtures reuse bin/database-connections-validation. Native PaintTo renders show DPH controls, not screenshots of an analyzed application. Regression evidence also covers 134 semantic/SQL and pinned-reference checks and 73 screen-history checks.</w:t>
      </w:r>
    </w:p>
    <w:p>
      <w:pPr>
        <w:pStyle w:val="Heading1"/>
      </w:pPr>
      <w:r>
        <w:t>Derive captured database engine and version evidence</w:t>
      </w:r>
    </w:p>
    <w:p>
      <w:r>
        <w:t>TDPHDatabaseConnections.EvaluateEngines extends the existing bounded inventory. It maps recognized captured DriverID values only for TFDConnection declarations using the FireDAC driver contract; it does not infer engines from class families, SQL tokens, DLL names, ports or DPH internal SQLite. The mapping basis is Embarcadero Databases FireDAC documentation at https://docwiki.embarcadero.com/RADStudio/Sydney/en/Databases_(FireDAC). Supported IDs identify families, without deriving server release or compatibility. MySQL-compatible retains compatible-server uncertainty; unknown virtual drivers are not silently mapped.</w:t>
      </w:r>
    </w:p>
    <w:p>
      <w:r>
        <w:t>Configuration permits bounded numeric ServerVersion, DatabaseVersion, ClientVersion and DriverVersion fields only. Server version aggregation preserves matching declarations, reports disagreement, and never promotes client or driver version evidence. Invalid values remain masked. Each engine fact carries its original source, line/range, source hash and captured generation. External definition contents, runtime overrides and live version measurements remain explicit unknowns. No driver or target database is opened.</w:t>
      </w:r>
    </w:p>
    <w:p>
      <w:r>
        <w:t>A dictionary indexes existing row IDs. Three bounded passes propagate evidence through unique captured connection and dataset targets to datasets, transactions and data sources. Multiple target identities become conflicting; unresolved candidate paths suppress propagation. Original fact ownership remains on the connection even when a dependent row displays it. The existing storage and analyzer contracts suffice; persisted capture reopening deterministically rebuilds the same projection.</w:t>
      </w:r>
    </w:p>
    <w:p>
      <w:r>
        <w:t>DPH.UI.Main.fmx retains IDE-editable controls and adds engine instructions and a concise evidence label. List rows summarize family and declared version. Details show engine results before qualifications, improving compact-window usability. The text filter searches evidence fields and safe configuration, excluding general boilerplate; navigation, pagination, capture replacement and credential masking continue to use the existing inventory.</w:t>
      </w:r>
    </w:p>
    <w:p>
      <w:r>
        <w:t>Run tools/build-database-engines.cmd elevated for 66 focused checks covering all fourteen driver IDs, unknown and virtual drivers, conflicting engine/version declarations, client/server separation, unresolved and conflicting paths, text/binary DFM and FMX, persisted reopening, source hashes, sensitive canaries, native filtering/details and compact renders. Existing database inventory and screen-history suites add 139 regression checks. Actual app and FMX baseline build pass. Fixtures reuse bin/database-engines-validation; native PaintTo renders show DPH controls and controlled declarations, not observed target-runtime connections.</w:t>
      </w:r>
    </w:p>
    <w:p>
      <w:pPr>
        <w:pStyle w:val="Heading1"/>
      </w:pPr>
      <w:r>
        <w:t>Inspect captured database schema evidence</w:t>
      </w:r>
    </w:p>
    <w:p>
      <w:r>
        <w:t>DPH.Workspace.DatabaseSchema projects captured SQL resource IR and existing semantic SQL-table references without storage migrations or target execution. A bounded lexer separates comments, quoted identifiers and string literals, preserves statement-start lines, and recognizes supported CREATE TABLE, VIEW and SCHEMA headers. Qualified names retain quoted spelling; two- and three-part names yield qualifier-reference rows. PostgreSQL CREATE TABLE, CREATE VIEW and CREATE SCHEMA documentation provides header references, not a cross-dialect grammar guarantee. Unsupported headers, ALTER and other statements remain explicit gaps.</w:t>
      </w:r>
    </w:p>
    <w:p>
      <w:r>
        <w:t>The lexer limits each resource to 2 MiB characters and 100000 tokens, nested comments to 16 levels and the inventory to 10000 rows. Malformed lexical resources yield a gap instead of partially promoted declarations. Definitions omit comment and string contents and bound display length. Parenthesis balance and recognized headers do not validate body grammar, type or constraint semantics. Whole-resource byte extents and precise statement-start lines are labeled separately. Existing inferred references retain captured semantic ranges and use original relationship labels for object names.</w:t>
      </w:r>
    </w:p>
    <w:p>
      <w:r>
        <w:t>Exact kind and spelling index duplicate declarations projectwide; every captured definition remains visible and migration order remains unresolved. The inspector neither normalizes dialect-dependent identifiers nor selects an effective production definition. References stay distinct from declarations; schema qualifiers stay distinct from explicit schema declarations. Missing resources and unsupported constructs cannot establish an empty live schema.</w:t>
      </w:r>
    </w:p>
    <w:p>
      <w:r>
        <w:t>DPH.UI.Main.fmx serializes the Database schema page, toolbar, filters, list, divider, labeled memo and source command for the IDE. Main owns the projection and borrows only visible rows, clearing them before capture replacement or destruction. Filtering and paging show 250 rows. Open source reuses TDPHKeyboardInspector.ReadSource for generation, containment, identity, decoding and SHA256 guards. No runtime controls or additional navigation helper are introduced.</w:t>
      </w:r>
    </w:p>
    <w:p>
      <w:r>
        <w:t>Run tools/build-database-schema.cmd elevated. Focused checks cover declarations, qualified and quoted names, comments/literals, duplicate definitions, unsupported and malformed resources, bounds, inferred references, SQLite persistence, source guards, unchanged workspace/catalog/source, native filters, pagination, capture replacement and normal/compact PaintTo renders. Run existing engine regression and tools/build-wp0.cmd for app and serialized FMX binding. Fixed ignored bin/database-schema-validation holds controlled practice data. No target SQL, database driver or application is executed.</w:t>
      </w:r>
    </w:p>
    <w:p>
      <w:pPr>
        <w:pStyle w:val="Heading1"/>
      </w:pPr>
      <w:r>
        <w:t>Extract captured column declarations and constraint text</w:t>
      </w:r>
    </w:p>
    <w:p>
      <w:r>
        <w:t>TDPHDatabaseSchema.Inspect extends the existing resource-token projection. It splits CREATE TABLE body entries only at outer commas, retaining type precision, CHECK and default-function commas. Supported entries emit column rows with declared_type, nullability, default, constraints, table and declaration_id. Explicit table-level constraint entries emit captured constraint text rows. These facts describe captured syntax, not a validated live schema. PostgreSQL CREATE TABLE documentation supplies the reference structure; this bounded reader is not a full dialect grammar.</w:t>
      </w:r>
    </w:p>
    <w:p>
      <w:r>
        <w:t>Type text accepts an identifier or qualified type, supported multiword suffixes, parenthesized parameters, time-zone qualifiers and array or unsigned suffixes. Clause extraction distinguishes DEFAULT NULL from explicit NULL, accepts bounded simple or parenthesized defaults, and captures supported named and inline constraints. String contents remain omitted. Token-aware formatting preserves quoted identifier spelling while presenting readable numeric and type evidence. Unsupported clauses, absent types, incomplete defaults, repeated defaults, conflicting NULL/NOT NULL and trailing empty entries remain gaps. A supported later entry does not inherit the preceding gap.</w:t>
      </w:r>
    </w:p>
    <w:p>
      <w:r>
        <w:t>Each column and table-level constraint keeps a unique parent declaration ID plus original file, source SHA256, generation and entry-start line. Duplicate table declarations retain independent column facts instead of selecting an effective migration. Whole-resource byte extents remain explicitly labeled. Key relationships, domain/inheritance rules, expression evaluation, dialect validity and deployed enforcement are unverified. No analyzer schema migration, target driver connection or runtime control construction is introduced.</w:t>
      </w:r>
    </w:p>
    <w:p>
      <w:r>
        <w:t>DPH.UI.Main.fmx adds column/constraint kinds and declared column/captured constraint states to existing Object Inspector editable selectors. Existing filter logic also searches declared type, explicit nullability and inline constraint text. Details lead with column type/nullability/default before long provenance explanations, improving compact-window use. Existing 250-row pages, capture replacement, labeled scrolling memo and guarded source navigation remain in use.</w:t>
      </w:r>
    </w:p>
    <w:p>
      <w:r>
        <w:t>Run tools/build-database-columns.cmd elevated for 121 checks using actual controlled project/resource analysis, SQLite persisted reopening, native FMX filtering/details/paging and normal/compact PaintTo renders. Checks cover type precision, multiword and qualified/quoted types, defaults, NULL separation, named/inline/table constraint text, nested commas, unsupported entries, duplicate declaration ownership, literal canaries and unchanged source/catalog/workspace. Existing schema and engine suites add 123 regression checks. Actual application build and FMX baseline pass. Fixed ignored bin/database-columns-validation contains controlled practice data. No SQL or target application is executed.</w:t>
      </w:r>
    </w:p>
    <w:p>
      <w:pPr>
        <w:pStyle w:val="Heading1"/>
      </w:pPr>
      <w:r>
        <w:t>Resolve captured key membership and references</w:t>
      </w:r>
    </w:p>
    <w:p>
      <w:r>
        <w:t>TDPHDatabaseSchema.Inspect emits key rows from supported captured CREATE TABLE entries. Each row preserves key_kind, constraint_name, ordered members, reference_table, ordered reference_columns, referential_actions, table, declaration_id and sanitized definition. Existing file, SHA256, generation and entry-start line provenance remain attached. Inline clauses are collected during column parsing and promoted only after the complete column entry passes its supported grammar, preventing an unsupported later clause from leaking a partial key.</w:t>
      </w:r>
    </w:p>
    <w:p>
      <w:r>
        <w:t>Table constraints accept an optional CONSTRAINT name and PRIMARY KEY, UNIQUE or FOREIGN KEY with nonempty identifier lists. Foreign keys accept a qualified referenced table, optional referenced column list and bounded ON DELETE or ON UPDATE actions. Repeated members, expressions, malformed lists, unknown actions and unsupported tails yield key gaps. CHECK remains captured constraint text. Inline reference actions outside the existing column subset remain column gaps. Token and row bounds remain unchanged. PostgreSQL constraint documentation supplies the reference syntax: https://www.postgresql.org/docs/18/ddl-constraints.html. This source reader does not implement that complete dialect.</w:t>
      </w:r>
    </w:p>
    <w:p>
      <w:r>
        <w:t>ResolveKeys builds exact table and declaration-owned column indexes with multiplicity counts. Each key receives ordered links containing role, reference, position, state and target_id only for unique captured matches. The owning table link uses the exact parent ID. Referenced columns resolve only after a unique referenced table is found. Missing or ambiguous evidence never chooses a first or last declaration. Omitted referenced columns and arity mismatches receive explicit notes; multiple primary keys and duplicate names receive conflict flags. Relationship status describes evidence completeness only, not semantic validity, target eligibility or enforcement.</w:t>
      </w:r>
    </w:p>
    <w:p>
      <w:r>
        <w:t>DPH.UI.Main.fmx serializes the key kind and declared key state plus a relationship selector and Follow relationship button in the horizontally scrolling schema toolbar. Main owns target ID strings separately from borrowed projection rows. Selection and capture replacement clear those strings. Follow resets filters, locates the exact target ID, computes its 250-row page and selects it. Existing source guards handle direct key navigation. No runtime controls, new storage migrations or SQL execution are introduced.</w:t>
      </w:r>
    </w:p>
    <w:p>
      <w:r>
        <w:t>Run tools/build-database-keys.cmd elevated for captured resource and SQLite reopening tests, composite order, named and anonymous inline keys, self references, missing or ambiguous members and tables, omitted target columns, arity differences, repeated columns, duplicate primary keys and names, unsupported syntax, literal omission, guarded source reading and native filters and relationship navigation. The suite also retains prior schema and column checks. Run column and schema regressions and tools/build-wp0.cmd for the actual executable and FMX baseline. Practice data stays in fixed ignored bin/database-keys-validation.</w:t>
      </w:r>
    </w:p>
    <w:p>
      <w:pPr>
        <w:pStyle w:val="Heading1"/>
      </w:pPr>
      <w:r>
        <w:t>Capture index structures and SQL reference evidence</w:t>
      </w:r>
    </w:p>
    <w:p>
      <w:r>
        <w:t>TDPHDatabaseSchema.Inspect recognizes bounded CREATE INDEX declarations from already captured SQL resources. Supported headers retain explicit index names, optional UNIQUE, CLUSTERED or NONCLUSTERED, CONCURRENTLY, IF NOT EXISTS, ON ONLY and a qualified target table. Optional USING retains the declared method. The reference structure is PostgreSQL CREATE INDEX: https://www.postgresql.org/docs/18/sql-createindex.html. Clustering keywords also retain captured structure from the supported cross-dialect subset; DPH does not validate combinations against a selected database dialect.</w:t>
      </w:r>
    </w:p>
    <w:p>
      <w:r>
        <w:t>Ordered members retain position, column when it is a plain identifier, sanitized expression text, explicit sort and null order. Parenthesized and simple function expressions remain unresolved dependencies. INCLUDE accepts distinct plain column identifiers. Optional unique null treatment, balanced WITH option text, TABLESPACE and balanced WHERE predicate text are retained without evaluation. Empty lists or expressions, malformed name/list structure, unsupported member options or clause tails, excessive nesting and unsupported predicate subqueries remain gaps. Existing lexical, resource-size, token and row bounds apply; index expression nesting is limited to 128.</w:t>
      </w:r>
    </w:p>
    <w:p>
      <w:r>
        <w:t>The existing relationship projection indexes exact table names and declaration-owned columns, using multiplicity counts. Index links target only unique captured table/column evidence. Duplicate table targets, columns and same-table index names remain explicit ambiguities or conflicts. Index records retain source SHA256, generation, statement line, resource byte extent, exact name and table scope. Effective migration order and live schema remain unknown. No schema migration, driver connection, SQL execution or runtime UI construction is introduced.</w:t>
      </w:r>
    </w:p>
    <w:p>
      <w:r>
        <w:t>A separate exact-name lookup groups existing supported SQL table-reference rows. Index records show total and displayed reference counts and link to those captured evidence rows, capped at 250 references per index and 10000 across the projection. These links are labeled index use unobserved. They do not imply column coverage, plan selection or measured benefit. Absent supported matches cannot establish an unused index; quoted names and case are not normalized across dialects.</w:t>
      </w:r>
    </w:p>
    <w:p>
      <w:r>
        <w:t>DPH.UI.Main.fmx adds index and declared index to the existing Object Inspector editable selectors. Main reuses the relationship selector, exact-ID Follow relationship navigation, 250-row paging, capture lifecycle and source guards. Search includes target table, method, predicate, storage kind and options. Details lead with index facts and explain evidence limitations before an investigation of performance can be justified.</w:t>
      </w:r>
    </w:p>
    <w:p>
      <w:r>
        <w:t>Run tools/build-database-indexes.cmd elevated for actual project/resource capture, ordered composite and expression members, uniqueness and optional structure, literal omission, missing or ambiguous target evidence, malformed/unsupported grammar, persisted SQLite reopening, unchanged source/catalog/workspace, guarded source reading and native filtering/follow/replacement/normal/compact renders. The suite retains prior schema, column and key checks. Run key and schema regressions and tools/build-wp0.cmd for the application and serialized FMX bindings. Controlled practice stays in fixed ignored bin/database-indexes-validation.</w:t>
      </w:r>
    </w:p>
    <w:p>
      <w:pPr>
        <w:pStyle w:val="Heading1"/>
      </w:pPr>
      <w:r>
        <w:t>Capture stored-object definitions and dependencies</w:t>
      </w:r>
    </w:p>
    <w:p>
      <w:r>
        <w:t>TDPHDatabaseSchema.Inspect projects supported stored-object declarations from existing captured SQL IR into procedure, function and trigger rows. CREATE, CREATE OR REPLACE and CREATE OR ALTER retain their header operation; PROC normalizes to procedure. Explicit qualified and quoted names are retained without dialect case folding. Named parenthesized parameters and supported TSQL @parameter lists retain order, modes, declared type, sanitized defaults and source lines. Scalar/qualified type structure, numeric precision, supported multiword types and array suffixes are captured; unsupported structures remain extraction gaps.</w:t>
      </w:r>
    </w:p>
    <w:p>
      <w:r>
        <w:t>Inline BEGIN/END blocks retain internal semicolons and nested BEGIN/CASE structure, with a 128 nesting limit. Their internal DDL is never promoted to a top-level table declaration. An unterminated block holds the remaining resource as a gap. Standalone GO client batch separators preserve following declarations. Single-quoted and dollar-quoted SQL or PLPGSQL bodies are lexed again for sanitized display and supported dependency evidence; comments and literal values remain omitted. Other quoted-body languages, unsupported tails, unnamed parameters, table-valued return structure and custom terminator directives remain gaps. Capturing a supported header/body extent does not validate body grammar.</w:t>
      </w:r>
    </w:p>
    <w:p>
      <w:r>
        <w:t>Trigger structure retains supported BEFORE/AFTER/INSTEAD OF timing, INSERT/UPDATE/DELETE/TRUNCATE event lists, ON table, optional FOR EACH ROW/STATEMENT and parenthesized WHEN text. Supported bodies are inline blocks or explicit zero-argument EXECUTE FUNCTION/PROCEDURE calls; the latter names a trigger function. Other trigger dialect arrangements or call arguments remain explicit extraction gaps. Body text and WHEN are unevaluated.</w:t>
      </w:r>
    </w:p>
    <w:p>
      <w:r>
        <w:t>Dependency extraction records supported FROM/JOIN/UPDATE and INSERT INTO literal table names, CALL/EXEC and EXECUTE PROCEDURE targets, plus event tables and explicit trigger functions. It is textual evidence with exact source lines, not a complete semantic SQL dependency graph. CTE/WITH scope, dynamic execution and complex table expressions retain unresolved evidence. No alias, expression-function call or column binding is invented. Projection-wide limits are 1000 dependency entries per stored object and 10000 total, alongside existing 2 MiB resource, 100000-token and 10000-row limits. Body display is limited to approximately 16000 characters and definition display to approximately 8000.</w:t>
      </w:r>
    </w:p>
    <w:p>
      <w:r>
        <w:t>ResolveStored builds multiplicity indexes for captured table/view names and kind-specific routine names. Unique exact name matches receive target IDs with binding explicitly unverified. Missing or ambiguous declarations and overloads receive states without targets. Duplicate definitions remain separate and effective migration order remains unknown. Stored rows carry resource SHA256, generation, statement line and resource byte extent; parameter/dependency lines refer to that same captured resource. The captured workspace, source files and owner catalog remain unchanged.</w:t>
      </w:r>
    </w:p>
    <w:p>
      <w:r>
        <w:t>The IDE-editable Database schema selectors add procedure/function/trigger and declared stored object. Existing exact-ID Follow relationship, paging, labeled scrolling details and source hash/generation guards are reused. Search includes parameter JSON text, language, returns, trigger facts and sanitized body. No runtime controls, driver connections, server SQL execution or new helper unit are introduced.</w:t>
      </w:r>
    </w:p>
    <w:p>
      <w:r>
        <w:t>Run tools/build-database-stored-objects.cmd elevated for actual project/resource capture, parameters/defaults/types, quoted bodies, triggers, nested blocks, explicit calls, missing/ambiguous targets, overloads, literal omission, limits, batch boundaries, persistence, unchanged source/catalog/workspace, source guards and native navigation/filter/replacement/normal/compact renders. Run index and schema regressions and tools/build-wp0.cmd for the actual application and FMX resource bindings. Controlled fixtures stay in fixed ignored bin/database-stored-objects-validation.</w:t>
      </w:r>
    </w:p>
    <w:p>
      <w:r>
        <w:t>Primary syntax references: PostgreSQL CREATE FUNCTION https://www.postgresql.org/docs/18/sql-createfunction.html, CREATE TRIGGER https://www.postgresql.org/docs/18/sql-createtrigger.html and Microsoft CREATE PROCEDURE https://learn.microsoft.com/en-us/sql/t-sql/statements/create-procedure-transact-sql. The parser implements a bounded captured-evidence subset; these references do not imply full dialect validation or deployed behavior.</w:t>
      </w:r>
    </w:p>
    <w:p>
      <w:pPr>
        <w:pStyle w:val="Heading1"/>
      </w:pPr>
      <w:r>
        <w:t>Project captured entity relationship metadata</w:t>
      </w:r>
    </w:p>
    <w:p>
      <w:r>
        <w:t>TDPHDatabaseSchema.Diagram projects independent JSON from the existing captured schema inventory. Only declared table headers become nodes. IDs, exact ownership, source SHA256, generation and source ranges survive projection. Owned columns retain order, declared types, nullability and resolved local key membership badges. Duplicate badge kinds are condensed. No source, owner catalog or persisted workspace is changed.</w:t>
      </w:r>
    </w:p>
    <w:p>
      <w:r>
        <w:t>Captured foreign keys become numbered edges with exact key, owner and referenced table IDs, ordered members and referenced columns, source provenance and relationship state. A solid blue line requires complete captured key links and both visible table endpoints. Unresolved captured links with available endpoints draw orange dashed lines. Missing targets receive no invented ID or ghost node. Relationships touching either visible endpoint remain in the evidence selector when the other endpoint is filtered or off page. Arrow direction runs from the referencing table to the referenced table; no crow-foot cardinality is inferred.</w:t>
      </w:r>
    </w:p>
    <w:p>
      <w:r>
        <w:t>Focus uses the selected declaration ID and a one-hop incoming/outgoing neighbor set. It does not expand transitively. Text filtering applies after focus and stable inventory order is retained across pagination. Bounds require a nonnegative offset, 1 to 60 tables and 1 to 32 summarized columns; native page choices are 15, 30 and 60. The projection retains at most 120 related foreign keys with total and omitted counts. Duplicate names, owned gaps, unresolved keys, absent columns and truncated summaries mark node notes and orange card borders. Global qualification remains PARTIAL CAPTURED SCHEMA even for supported individual declarations.</w:t>
      </w:r>
    </w:p>
    <w:p>
      <w:r>
        <w:t>DatabaseERTab and all command, scroll, memo and style controls are serialized in DPH.UI.Main.fmx for the IDE Object Inspector. The existing Main unit paints the data using a native canvas; it does not construct runtime controls or introduce a helper unit. Table size, header height, column row height, gutters, margins, fonts, colors and zoom controls are editable form properties. DatabaseERRect arranges stable table cards in a grid; orthogonal FK routes use outside-card gutters, arrowheads and selector numbers, including self links. The canvas resizes for content and magnification. Defaults summarize seven columns.</w:t>
      </w:r>
    </w:p>
    <w:p>
      <w:r>
        <w:t>Table hit testing and FK selection retain exact evidence IDs. Open evidence clears schema filters and navigates to the correct 250-row inventory page. Focus accepts a selected table or the declaration owner of a column/key/gap. Capture loading rebuilds the projection and resets stale focus/evidence IDs; empty results explain recovery. Drawing and details scroll independently, commands scroll horizontally, and a serialized splitter adjusts evidence space. Open source remains subject to the existing generation/hash guards on the schema page.</w:t>
      </w:r>
    </w:p>
    <w:p>
      <w:r>
        <w:t>Run tools/build-database-er.cmd elevated. The suite captures real project SQL resources and checks projection ownership, badge membership, provenance, stable order, limits, missing/duplicate/self targets, focus, filtering, paging, immutable source/catalog/workspace and SQLite reopening. Native tests exercise card selection, exact evidence navigation across pages, the serialized page selector, zoom, compact scrolling and capture replacement; screenshots include the full native canvas and actual window. Fixtures use the fixed ignored bin/database-er-validation folder. Run stored-object and key regressions and tools/build-wp0.cmd for the actual application/FMX resource baseline.</w:t>
      </w:r>
    </w:p>
    <w:p>
      <w:r>
        <w:t>The visualization proves supported captured structure, not a live schema, SQL semantic validation or business meaning. Dialect validity, effective migration order, referenced uniqueness, type compatibility, cardinality and deployed enforcement remain unverified. Views and inferred usage references remain schema evidence rather than invented entities. Source gaps and display limits stay visible. No target SQL, target application or database server is executed.</w:t>
      </w:r>
    </w:p>
    <w:p>
      <w:pPr>
        <w:pStyle w:val="Heading1"/>
      </w:pPr>
      <w:r>
        <w:t>Maintain attributed schema dictionaries</w:t>
      </w:r>
    </w:p>
    <w:p>
      <w:r>
        <w:t>TDPHDatabaseSchema provides NewDictionary, ValidateDictionary, DictionaryIdentity, DictionaryTitle, DictionaryBody and FindDictionary in the existing schema unit. A data_dictionary record contains fourteen bounded text fields. Its captured anchor retains the exact schema record ID, source SHA256, original capture generation, kind, name, owning table and statement line. Authored fields hold business definition, owner or steward, sensitivity/handling, evidence/unknowns and optional units/usage. Validation requires explicit content for the first four authored fields; Unknown is a legitimate attributed answer, not an inferred fact.</w:t>
      </w:r>
    </w:p>
    <w:p>
      <w:r>
        <w:t>DPH.UI.DatabaseDictionary.pas and its FMX resource define a native structured editor. All labels, memo rows, dimensions, read-only states and Apply/Cancel controls are serialized and editable in the Object Inspector. Business fields appear first, captured identity below. DPH.UI.Main reuses the existing Knowledge draft/save flow, contributor, immutable revision history, optimistic revision checks, pending review and rejection/retirement commands. No new helper unit, runtime controls or database migration is introduced.</w:t>
      </w:r>
    </w:p>
    <w:p>
      <w:r>
        <w:t>SaveKnowledge validates new anchors against the selected persisted workspace using the captured schema inventory. Forged object names or source lines are rejected. Scope, title, deterministic rendered body and target identity cannot be altered on an existing record. One dictionary per captured anchor is enforced, including retired records. Changes create a fresh needs_review revision. Contributor, editor and reviewer remain independent. Applying the native editor only prepares a draft and requires an explicit Save.</w:t>
      </w:r>
    </w:p>
    <w:p>
      <w:r>
        <w:t>Database schema details show business meaning before captured technical facts. Its filter searches current authored dictionary bodies. Exact captured bytes are required for current lookup; old hash matches are reported as historical rather than moved onto a new source version. Unmatched historical records remain accessible in Knowledge. DPH.Publish.Model filters dictionary sections by included source files and matching SHA256, preserving existing publication redaction and attributed review state. Publisher version DPH-LEARNING-9 invalidates prior publication fingerprints.</w:t>
      </w:r>
    </w:p>
    <w:p>
      <w:r>
        <w:t>Run tools/build-database-dictionary.cmd elevated. Its fixed ignored bin/database-dictionary-validation fixture captures real SQL resources, persists the workspace, checks required fields/types/bounds, forged/duplicate anchors, immutable identities, conflicting body rejection, contributor/review/revision history, stale review, table/column separation, historical lookup, export exclusions/hash mismatch, native serialized controls, modal Apply-to-draft flow, search, history navigation, compact renders and SQLite reopening. No selected application or SQL executes. Run ER, publishing and glossary regressions plus tools/build-wp0.cmd for the actual application and FMX baseline.</w:t>
      </w:r>
    </w:p>
    <w:p>
      <w:r>
        <w:t>The editor implements an attributed dictionary workflow, not automatic knowledge of business meaning. Sensitivity is descriptive text, not an authorization mechanism. The captured schema remains partial and does not establish live deployment, SQL validity, migration order or business correctness. Human review and the source evidence must qualify every business assertion.</w:t>
      </w:r>
    </w:p>
    <w:p>
      <w:pPr>
        <w:pStyle w:val="Heading1"/>
      </w:pPr>
      <w:r>
        <w:t>Resolve captured dataset and field bindings</w:t>
      </w:r>
    </w:p>
    <w:p>
      <w:r>
        <w:t>TDPHDatabaseConnections.Inspect extends the existing captured form inventory with known persistent TField classes, data-aware control property signals, TBindSourceDB and visual controls explicitly referenced by serialized binding Control properties. Only required reference/configuration metadata enters the projection; captions, credentials and connection values retain existing redaction. The source and persisted workspace remain unchanged.</w:t>
      </w:r>
    </w:p>
    <w:p>
      <w:r>
        <w:t>Persistent field DataSet ownership is derived from its exact serialized parent path and resolved only to a unique dataset. Explicit LookupDataSet references remain distinct from ownership. ResolveFields indexes captured IDs and dataset-scoped case-insensitive FieldName values, then joins resolved control DataSource or BindSource, intermediary DataSet and persistent field identity. Multiple fields, incomplete or competing chains receive no target ID. Fields absent from captured declarations are not invented. Every property link retains its original property line and byte range; binary form evidence has byte positions rather than invented text lines.</w:t>
      </w:r>
    </w:p>
    <w:p>
      <w:r>
        <w:t>The existing Follow reference workflow navigates outgoing and reverse references, resets filters and finds exact IDs across 250-row pages. Serialized kind choices add bound control, persistent field and binding control target. Binding explanations and field metadata appear before lengthy engine qualifications. No runtime controls, helper unit, target component loading or storage migration was introduced. Existing engine derivation remains unchanged.</w:t>
      </w:r>
    </w:p>
    <w:p>
      <w:r>
        <w:t>The installed RAD Studio Data.Bind.Components source and official TLinkControlToField documentation establish the published DataSource, FieldName and Control contract. Data.Bind.DBScope supplies TBindSourceDB. Support describes serialized lexical candidates; it does not evaluate LiveBindings expressions or instantiate the target. General expression/factory/runtime/inherited behavior remains qualified rather than promoted to confirmed static binding.</w:t>
      </w:r>
    </w:p>
    <w:p>
      <w:r>
        <w:t>Run tools/build-dataset-bindings.cmd elevated for 92 checks. Real text/binary DFM and FMX fixtures cover VCL and FMX field chains, parent ownership, reverse links, duplicate fields, missing/nil sources, lookup datasets, exact property evidence, native kind/text filters, follow navigation, compact layout, SQLite reopening and unchanged source/catalog. Connection and engine regressions each pass 66 checks. tools/build-wp0.cmd builds the actual application and verifies FMX resource bindings. Fixtures use fixed ignored bin/dataset-bindings-validation.</w:t>
      </w:r>
    </w:p>
    <w:p>
      <w:pPr>
        <w:pStyle w:val="Heading1"/>
      </w:pPr>
      <w:r>
        <w:t>Recognize captured database operation requests</w:t>
      </w:r>
    </w:p>
    <w:p>
      <w:r>
        <w:t>TDPHSemanticAnalyzer.RoutineFacts emits database_operation relations for recognized methods on declared framework datasets or captured descendants. Receiver resolution and imported framework identity are checked; a local class shadowing TFDQuery and ordinary Delete methods are excluded. Captured inheritance is bounded to 32 steps. Within-with calls, factories, aliases, indexed receivers, unsupported providers and runtime dispatch remain unproved. DPHSemanticVersion DPH-WP3-15 invalidates older semantic caches.</w:t>
      </w:r>
    </w:p>
    <w:p>
      <w:r>
        <w:t>TDPHDatabaseConnections.AppendOperations projects API calls, static_sql and dynamic_sql relations into existing database inventory rows. It preserves generation, condition, source SHA256 and line/byte range. Semantic component_field relationships connect operation receivers to serialized components by exact source location; ambiguous locations never choose an arbitrary target. Recognized custom dataset declarations receive their own navigable receiver row. SQL literal values are omitted. Single lexical CRUD families can be retained for complex SQL without inventing table or column bindings; dynamic or mixed batches remain unknown.</w:t>
      </w:r>
    </w:p>
    <w:p>
      <w:r>
        <w:t>Effects distinguish record-buffer preparation, posting, cached-update application, deletion requests, SQL configuration and execution requests. Engine evidence follows captured receiver references. The database operation kind filter and Source button are serialized in DPH.UI.Main.fmx. Existing pagination, reverse references and source hash guards are reused. No helper unit, runtime control, storage migration, target execution or driver loading is introduced.</w:t>
      </w:r>
    </w:p>
    <w:p>
      <w:r>
        <w:t>Run tools/build-database-operations.cmd elevated for 232 checks using the actual analyzer, persisted/reopened SQLite workspace and native FMX form. Fixtures cover CRUD requests, local/custom datasets, framework-name shadowing, SQL joins and mixed/dynamic SQL, operation effects, exact receiver/source identity, redaction, reverse navigation, detached-source refusal, compact layout and unchanged source/catalog. Binding regression passes 92, engine regression 66 and semantic regression 134 checks. tools/build-wp0.cmd builds the real application and verifies its FMX resource. Fixtures stay in fixed ignored bin/database-operations-validation.</w:t>
      </w:r>
    </w:p>
    <w:p>
      <w:pPr>
        <w:pStyle w:val="Heading1"/>
      </w:pPr>
      <w:r>
        <w:t>Trace captured transaction boundaries</w:t>
      </w:r>
    </w:p>
    <w:p>
      <w:r>
        <w:t>DPHSemanticVersion DPH-WP3-15 invalidates older captures. RoutineFacts emits database_transaction relations for recognized FireDAC, ADO, dbExpress, BDE and IBX transaction APIs on declared imported framework types or captured descendants. IsDatabaseType shares the existing bounded ancestry and framework-name shadow checks with dataset operation recognition. The API list is provider-specific; ordinary methods and local classes sharing framework names are excluded. Parameter values and savepoint names do not enter the inventory. No target class, SQL or server is loaded or executed.</w:t>
      </w:r>
    </w:p>
    <w:p>
      <w:r>
        <w:t>AttachTransactionPaths projects existing captured flow_nodes and flow_edges without evaluating expressions. Each boundary maps to the smallest containing statement range in the same routine and source. Separate finalizer copies retain their different pending transfers. Bounded traversal stops at the next boundary on the same declared semantic receiver or a normal/exception exit. Exception and conditional/loop flags stay separate. Multiple transaction calls in one expression receive no invented ordering. Receiver aliases and interprocedural transactions remain unproved.</w:t>
      </w:r>
    </w:p>
    <w:p>
      <w:r>
        <w:t>Indexes group nodes by routine, outgoing edges by node and transaction boundaries by their statement. Limits are 10000 candidate CFG nodes per routine, 5000 states and 64 routes per boundary, and 1000000 states per inventory. Missing or bounded flow remains explicit. Routes expose node IDs and traversed edge-kind sets for comparison with the underlying CFG; they are not execution traces or path-feasibility proofs. Existing reference navigation links receivers, next boundaries and their reverse references. Controls remain serialized and IDE editable in DPH.UI.Main.fmx.</w:t>
      </w:r>
    </w:p>
    <w:p>
      <w:r>
        <w:t>Calls immediately after try, except and finally now retain their no-parentheses statement-call recognition. Run tools/build-database-transactions.cmd elevated for 402 checks using actual analysis, persisted/reopened SQLite and native FMX controls. Fixtures cover normal/error commit and rollback paths, finalizers, conditional alternatives, missing boundaries, distinct receivers, retaining/savepoint variants, five framework families, captured descendants, local name shadows, unordered expressions, absent CFG, redaction, native navigation, compact layout and unchanged source/catalog. Regression suites cover 232 operation, 92 binding, 66 engine and 134 semantic checks. tools/build-wp0.cmd builds the actual application and checks the FMX resource. Tests reuse fixed ignored bin/database-transactions-validation.</w:t>
      </w:r>
    </w:p>
    <w:p>
      <w:pPr>
        <w:pStyle w:val="Heading1"/>
      </w:pPr>
      <w:r>
        <w:t>Capture field validation and transformation evidence</w:t>
      </w:r>
    </w:p>
    <w:p>
      <w:r>
        <w:t>DPH-WP2-6 recognizes serialized BeforePost, BeforeInsert, BeforeEdit, BeforeDelete, BeforeCancel and BeforeOpen as event bindings in both text and binary forms. Existing own-form method resolution supplies handler relations; DPH-WP3-15 invalidates older semantic captures. Existing On-prefixed events retain their previous behavior. Missing or ambiguous method targets remain unresolved.</w:t>
      </w:r>
    </w:p>
    <w:p>
      <w:r>
        <w:t>AppendDataRules in DPH.Workspace.DatabaseConnections indexes captured symbols, event bindings and routine CFG nodes. It projects persistent-field constraints, recognized field/dataset/input hooks and bounded handler statements. A transformation requires two direct expressions in the matching Pascal statement IR, rather than a semicolon heuristic. Conditions, raises and early exits remain distinct. Repeated finally copies are deduplicated by source location and context. Statement input/output links use captured lexical reads/writes within expression ranges, not reaching-definition or runtime-value claims. Literal strings, comments and character codes are omitted; supported custom/default expressions retain their structure without evaluation.</w:t>
      </w:r>
    </w:p>
    <w:p>
      <w:r>
        <w:t>The combined inventory is bounded to 10000 rows; truncation is explicit in the model and native status. Source, SHA256, generation, context, handler, input/output and reverse references retain exact captured identity. Native data rule and rule declaration filters are serialized in the FMX resource. No new UI controls, helper unit, migration, target instance, driver or server execution is introduced. tools/build-data-rules.cmd checks real parser output, persisted/reopened captures, constraints, predicates, transformation inputs/outputs, missing handlers/syntax, semicolons in call literals, redaction, inventory limits, native navigation and normal/compact layouts. Explicit directions are in docs/guides/Data_Rules_Run_and_Test.txt.</w:t>
      </w:r>
    </w:p>
    <w:p>
      <w:pPr>
        <w:pStyle w:val="Heading1"/>
      </w:pPr>
      <w:r>
        <w:t>Connect source evidence into scoped lineage</w:t>
      </w:r>
    </w:p>
    <w:p>
      <w:r>
        <w:t>TDPHDatabaseConnections.Lineage projects the captured workspace and database inventory without modifying either. Exact component_field source locations map semantic receivers to serialized inventory identity only when unique. Existing rule declarations retain their identity. Directed derives_from relations connect input candidates to dependent declarations and file output artifacts. Lexical rule inputs and outputs connect through the captured rule. Serialized bindings, handler context, reads/writes, rendering requests and database operation routines remain labeled context rather than reaching-definition evidence.</w:t>
      </w:r>
    </w:p>
    <w:p>
      <w:r>
        <w:t>The projection indexes at most 50000 symbols and 100000 deduplicated edges, then performs bounded adjacency traversal. Each returned node retains its parent hop, kind, source, SHA256 and capture generation. Edges retain original range, source hash, condition, category and qualification. Both direction traversal includes context; Inputs and Destinations exclude broad procedure context and respect dependency direction. Cycles are deduplicated. Returned limits are 200 nodes, 800 edges and 12 hops. Missing targets, missing dataset declarations, unresolved handlers, scoped connection boundaries and limits remain explicit. Runtime values, aliases, server effects and final success remain unverified.</w:t>
      </w:r>
    </w:p>
    <w:p>
      <w:r>
        <w:t>ResolveFields now treats any captured data-source chain without a dataset target as incomplete, including the case where another source chain resolves. It no longer invents a persistent-field target from the remaining valid branch. Existing exact-role and ambiguity checks remain in force. No analyzer version or schema migration is needed because lineage projects existing captures; older captures without a recognized event or relation still require Full reassessment.</w:t>
      </w:r>
    </w:p>
    <w:p>
      <w:r>
        <w:t>The direction selector, Trace lineage and Lineage diagram buttons and Data lineage graph choice are serialized in DPH.UI.Main.fmx. Main form navigation reuses the inventory and explanation pages; graph grouping is disabled for lineage. GraphHTML renders the same evidence JSON with selectable nodes and unresolved breaks. Existing browser allowlisting and source hash guards remain in force. Tests use actual parsing, persisted and reopened SQLite captures, directional assignment chains, cyclic assignments, controlled file-writer evidence, redaction, incomplete bindings, trace limits and native FMX navigation/layout. No selected target, SQL, driver or production server is executed. Build with tools/build-data-lineage.cmd.</w:t>
      </w:r>
    </w:p>
    <w:p>
      <w:pPr>
        <w:pStyle w:val="Heading1"/>
      </w:pPr>
      <w:r>
        <w:t>Project captured migration and version evidence</w:t>
      </w:r>
    </w:p>
    <w:p>
      <w:r>
        <w:t>TDPHDatabaseSchema.Inspect appends migration evidence after ordinary schema identities and links are resolved. Existing schema IDs remain stable. Each captured readable SQL resource becomes a migration candidate; unavailable literal SQL loader targets become migration gaps citing the Pascal loader range and fingerprint. The existing bounded project inventory discovers referenced files only. No unrelated directory scan, migration runner, target database or target application executes.</w:t>
      </w:r>
    </w:p>
    <w:p>
      <w:r>
        <w:t>Leading numeric filenames are order candidates scoped to the captured source directory. Leading zeros normalize only for conflict detection; original filename digits remain visible. Captured loader configures relationships retain their source, line, fingerprint and enumeration label. Neither filename nor lexical-loader order becomes deployment precedence. Schema evidence links retain exact row IDs and are limited to 250 per script, with total and omission counts.</w:t>
      </w:r>
    </w:p>
    <w:p>
      <w:r>
        <w:t>The existing SQL lexer separates comments and literal contents. Supported top-level PRAGMA user_version assignments capture nonnegative 32-bit integer values through equals or parentheses and preserve explicit schema qualifiers. Queries, engine schema_version counters, unsupported expressions, nested procedure blocks and comments cannot become application-version assignments. Multiple assignments remain ordered evidence rather than a selected final version. SQLite reference: https://www.sqlite.org/pragma.html#pragma_user_version. Supported verification request spelling captures integrity_check, quick_check and foreign_key_check without execution or invented results.</w:t>
      </w:r>
    </w:p>
    <w:p>
      <w:r>
        <w:t>Existing SQL bounds are 2 MiB characters, 100000 tokens and 10000 combined schema rows. Migration detail bounds are 250 displayed version assignments, 8000 characters of verification requests and 1000 loader entries, with explicit truncation. IDE-editable kind/state selectors, paging, evidence memo, source guards and relationship navigation are reused. The focused tools/build-schema-history.cmd suite exercises actual parsing, persisted reopening, numeric-prefix conflicts, missing sources, version/counter distinctions, nested blocks, redaction, limits, native filters and navigation. Shared schema, ER, stored-object and lineage regressions verify the same projection remains compatible.</w:t>
      </w:r>
    </w:p>
    <w:p>
      <w:pPr>
        <w:pStyle w:val="Heading1"/>
      </w:pPr>
      <w:r>
        <w:t>Project captured file formats and contracts</w:t>
      </w:r>
    </w:p>
    <w:p>
      <w:r>
        <w:t>TDPHWorkspaceView.FileFormats projects existing IR and semantic captures without a schema or analyzer change. Supported captured JSON, XML and INI resources show member shapes while omitting scalar values. Member names are bounded and unsafe names are omitted. Each resource shows at most 250 members and an explicit total/limit. The combined inventory is capped at 10000 rows with visible truncation.</w:t>
      </w:r>
    </w:p>
    <w:p>
      <w:r>
        <w:t>Outer expression tokens identify dotted ReadAllText/Bytes/Lines, WriteAllText/Bytes/Lines, LoadFromFile and SaveToFile spellings. Quoted strings remain single tokens and comments do not become APIs. A supported literal first argument contributes only a safe filename extension. Explicit TEncoding argument spellings remain candidates; byte APIs remain binary candidates. Enclosing captured routine identity provides a producer or consumer link. Evidence retains source hash, generation and enclosing expression range; custom receivers and runtime dispatch are unverified.</w:t>
      </w:r>
    </w:p>
    <w:p>
      <w:r>
        <w:t>DPH.UI.Main and its serialized FMX resource provide kind/text filters, 250-row paging, labeled evidence, guarded source opening, routine explanation and contract drafts. No runtime controls, helper unit or target execution is introduced. Deterministic contract titles include the exact row and source hash. Existing attributed Knowledge storage supplies immutable revision history and separate review. A contract draft includes encoding/BOM, schema and required fields, producer/consumer mappings, validation, compatibility, verification and remaining unknowns.</w:t>
      </w:r>
    </w:p>
    <w:p>
      <w:r>
        <w:t>Run tools/build-file-formats.cmd elevated for the focused actual-parser, persistence and native FMX checks. It uses fixed ignored bin/file-formats-validation fixtures and verifies redaction, routine identity, explicit encoding candidates, resource/transfer distinctions, large shapes, paging, saved contracts, source-change and detached-source refusal, compact layout and unchanged captured source/catalog. Shared schema-history, lineage, Knowledge and publishing regressions and tools/build-wp0.cmd validate integration. Candidate evidence and authored contracts do not establish a formal schema, runtime transfer success or deployed compatibility.</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43244ca3544edffabbf8a52af92a5f8081794894db0fd88fdd67fd1dbab560fb</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93d7e969508ff4862a98f7e4d7b6cb690cf741792d5a0e4dbac9f012bc8c5035</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47c187a32ad1a040760bd9459e843d9c6fa7ced7b4ea5843280d2680127cc047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3cf7d49afd859e2d2749cb30e5fdd76120eaf05ef5223e8fb8bf6eb1a7fcd66c</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bdecd758070044593a6a19bfd53b35f9a23286e2542194313222cdfee51d6557</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532727b11c1245adceaab9e43a6f16d4bce573cf1f31c148978a78457462039f</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88dd64242abb30706a448fe064978c22d641b9541ce67a2e55e40bacc045b005</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f1f248e67d51cc4b4047c684491bcf2c275fa2abc5e785139ca7e4dc25eb20e9</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37fecd28b258661a57eb1ff955a2bf1f22757508b3925b98daedc0d6b789e1ce</w:t>
      </w:r>
    </w:p>
    <w:p>
      <w:pPr>
        <w:keepNext/>
        <w:spacing w:after="0"/>
      </w:pPr>
      <w:r>
        <w:rPr>
          <w:sz w:val="18"/>
        </w:rPr>
        <w:t>DPH.Workspace.DatabaseSchema.pas</w:t>
      </w:r>
    </w:p>
    <w:p>
      <w:pPr>
        <w:spacing w:after="20"/>
      </w:pPr>
      <w:r>
        <w:rPr>
          <w:rFonts w:ascii="Consolas" w:hAnsi="Consolas"/>
          <w:sz w:val="16"/>
        </w:rPr>
        <w:t>988548013d7465e7a95b4b1729c0fec5938f5d866afda932bfeab22639160bda</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74cf89748b06e15b73637e74ea57f1162b7fd1b31ce48522783cb6ae9893a4d8</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03c3afd6487178ea008b05f78673fc0ca83f2d12fc7304efb815299c16e5beb6</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