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11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Architecture and boundaries</w:t>
      </w:r>
      <w:r>
        <w:rPr>
          <w:sz w:val="20"/>
        </w:rPr>
        <w:tab/>
        <w:t>3</w:t>
      </w:r>
    </w:p>
    <w:p>
      <w:pPr>
        <w:spacing w:after="0" w:line="240" w:lineRule="auto"/>
        <w:tabs>
          <w:tab w:val="right" w:leader="dot" w:pos="9360"/>
        </w:tabs>
      </w:pPr>
      <w:r>
        <w:rPr>
          <w:sz w:val="20"/>
        </w:rPr>
        <w:t>Rework and acceptance status</w:t>
      </w:r>
      <w:r>
        <w:rPr>
          <w:sz w:val="20"/>
        </w:rPr>
        <w:tab/>
        <w:t>3</w:t>
      </w:r>
    </w:p>
    <w:p>
      <w:pPr>
        <w:spacing w:after="0" w:line="240" w:lineRule="auto"/>
        <w:tabs>
          <w:tab w:val="right" w:leader="dot" w:pos="9360"/>
        </w:tabs>
      </w:pPr>
      <w:r>
        <w:rPr>
          <w:sz w:val="20"/>
        </w:rPr>
        <w:t>Build and deployment</w:t>
      </w:r>
      <w:r>
        <w:rPr>
          <w:sz w:val="20"/>
        </w:rPr>
        <w:tab/>
        <w:t>3</w:t>
      </w:r>
    </w:p>
    <w:p>
      <w:pPr>
        <w:spacing w:after="0" w:line="240" w:lineRule="auto"/>
        <w:tabs>
          <w:tab w:val="right" w:leader="dot" w:pos="9360"/>
        </w:tabs>
      </w:pPr>
      <w:r>
        <w:rPr>
          <w:sz w:val="20"/>
        </w:rPr>
        <w:t>Input acquisition and project scope</w:t>
      </w:r>
      <w:r>
        <w:rPr>
          <w:sz w:val="20"/>
        </w:rPr>
        <w:tab/>
        <w:t>4</w:t>
      </w:r>
    </w:p>
    <w:p>
      <w:pPr>
        <w:spacing w:after="0" w:line="240" w:lineRule="auto"/>
        <w:tabs>
          <w:tab w:val="right" w:leader="dot" w:pos="9360"/>
        </w:tabs>
      </w:pPr>
      <w:r>
        <w:rPr>
          <w:sz w:val="20"/>
        </w:rPr>
        <w:t>Syntax contracts and limits</w:t>
      </w:r>
      <w:r>
        <w:rPr>
          <w:sz w:val="20"/>
        </w:rPr>
        <w:tab/>
        <w:t>4</w:t>
      </w:r>
    </w:p>
    <w:p>
      <w:pPr>
        <w:spacing w:after="0" w:line="240" w:lineRule="auto"/>
        <w:tabs>
          <w:tab w:val="right" w:leader="dot" w:pos="9360"/>
        </w:tabs>
      </w:pPr>
      <w:r>
        <w:rPr>
          <w:sz w:val="20"/>
        </w:rPr>
        <w:t>Symbols and typed relationships</w:t>
      </w:r>
      <w:r>
        <w:rPr>
          <w:sz w:val="20"/>
        </w:rPr>
        <w:tab/>
        <w:t>4</w:t>
      </w:r>
    </w:p>
    <w:p>
      <w:pPr>
        <w:spacing w:after="0" w:line="240" w:lineRule="auto"/>
        <w:tabs>
          <w:tab w:val="right" w:leader="dot" w:pos="9360"/>
        </w:tabs>
      </w:pPr>
      <w:r>
        <w:rPr>
          <w:sz w:val="20"/>
        </w:rPr>
        <w:t>Control flow and impact</w:t>
      </w:r>
      <w:r>
        <w:rPr>
          <w:sz w:val="20"/>
        </w:rPr>
        <w:tab/>
        <w:t>5</w:t>
      </w:r>
    </w:p>
    <w:p>
      <w:pPr>
        <w:spacing w:after="0" w:line="240" w:lineRule="auto"/>
        <w:tabs>
          <w:tab w:val="right" w:leader="dot" w:pos="9360"/>
        </w:tabs>
      </w:pPr>
      <w:r>
        <w:rPr>
          <w:sz w:val="20"/>
        </w:rPr>
        <w:t>SQLite generations and durability</w:t>
      </w:r>
      <w:r>
        <w:rPr>
          <w:sz w:val="20"/>
        </w:rPr>
        <w:tab/>
        <w:t>5</w:t>
      </w:r>
    </w:p>
    <w:p>
      <w:pPr>
        <w:spacing w:after="0" w:line="240" w:lineRule="auto"/>
        <w:tabs>
          <w:tab w:val="right" w:leader="dot" w:pos="9360"/>
        </w:tabs>
      </w:pPr>
      <w:r>
        <w:rPr>
          <w:sz w:val="20"/>
        </w:rPr>
        <w:t>Evidence and immutable history</w:t>
      </w:r>
      <w:r>
        <w:rPr>
          <w:sz w:val="20"/>
        </w:rPr>
        <w:tab/>
        <w:t>5</w:t>
      </w:r>
    </w:p>
    <w:p>
      <w:pPr>
        <w:spacing w:after="0" w:line="240" w:lineRule="auto"/>
        <w:tabs>
          <w:tab w:val="right" w:leader="dot" w:pos="9360"/>
        </w:tabs>
      </w:pPr>
      <w:r>
        <w:rPr>
          <w:sz w:val="20"/>
        </w:rPr>
        <w:t>Background coordination and cached views</w:t>
      </w:r>
      <w:r>
        <w:rPr>
          <w:sz w:val="20"/>
        </w:rPr>
        <w:tab/>
        <w:t>6</w:t>
      </w:r>
    </w:p>
    <w:p>
      <w:pPr>
        <w:spacing w:after="0" w:line="240" w:lineRule="auto"/>
        <w:tabs>
          <w:tab w:val="right" w:leader="dot" w:pos="9360"/>
        </w:tabs>
      </w:pPr>
      <w:r>
        <w:rPr>
          <w:sz w:val="20"/>
        </w:rPr>
        <w:t>FMX navigation and visualization</w:t>
      </w:r>
      <w:r>
        <w:rPr>
          <w:sz w:val="20"/>
        </w:rPr>
        <w:tab/>
        <w:t>6</w:t>
      </w:r>
    </w:p>
    <w:p>
      <w:pPr>
        <w:spacing w:after="0" w:line="240" w:lineRule="auto"/>
        <w:tabs>
          <w:tab w:val="right" w:leader="dot" w:pos="9360"/>
        </w:tabs>
      </w:pPr>
      <w:r>
        <w:rPr>
          <w:sz w:val="20"/>
        </w:rPr>
        <w:t>Curated knowledge and review</w:t>
      </w:r>
      <w:r>
        <w:rPr>
          <w:sz w:val="20"/>
        </w:rPr>
        <w:tab/>
        <w:t>6</w:t>
      </w:r>
    </w:p>
    <w:p>
      <w:pPr>
        <w:spacing w:after="0" w:line="240" w:lineRule="auto"/>
        <w:tabs>
          <w:tab w:val="right" w:leader="dot" w:pos="9360"/>
        </w:tabs>
      </w:pPr>
      <w:r>
        <w:rPr>
          <w:sz w:val="20"/>
        </w:rPr>
        <w:t>Canonical publication and privacy</w:t>
      </w:r>
      <w:r>
        <w:rPr>
          <w:sz w:val="20"/>
        </w:rPr>
        <w:tab/>
        <w:t>7</w:t>
      </w:r>
    </w:p>
    <w:p>
      <w:pPr>
        <w:spacing w:after="0" w:line="240" w:lineRule="auto"/>
        <w:tabs>
          <w:tab w:val="right" w:leader="dot" w:pos="9360"/>
        </w:tabs>
      </w:pPr>
      <w:r>
        <w:rPr>
          <w:sz w:val="20"/>
        </w:rPr>
        <w:t>HTML guides and bundle validation</w:t>
      </w:r>
      <w:r>
        <w:rPr>
          <w:sz w:val="20"/>
        </w:rPr>
        <w:tab/>
        <w:t>7</w:t>
      </w:r>
    </w:p>
    <w:p>
      <w:pPr>
        <w:spacing w:after="0" w:line="240" w:lineRule="auto"/>
        <w:tabs>
          <w:tab w:val="right" w:leader="dot" w:pos="9360"/>
        </w:tabs>
      </w:pPr>
      <w:r>
        <w:rPr>
          <w:sz w:val="20"/>
        </w:rPr>
        <w:t>Translation boundary</w:t>
      </w:r>
      <w:r>
        <w:rPr>
          <w:sz w:val="20"/>
        </w:rPr>
        <w:tab/>
        <w:t>8</w:t>
      </w:r>
    </w:p>
    <w:p>
      <w:pPr>
        <w:spacing w:after="0" w:line="240" w:lineRule="auto"/>
        <w:tabs>
          <w:tab w:val="right" w:leader="dot" w:pos="9360"/>
        </w:tabs>
      </w:pPr>
      <w:r>
        <w:rPr>
          <w:sz w:val="20"/>
        </w:rPr>
        <w:t>Verification and release discipline</w:t>
      </w:r>
      <w:r>
        <w:rPr>
          <w:sz w:val="20"/>
        </w:rPr>
        <w:tab/>
        <w:t>8</w:t>
      </w:r>
    </w:p>
    <w:p>
      <w:pPr>
        <w:spacing w:after="0" w:line="240" w:lineRule="auto"/>
        <w:tabs>
          <w:tab w:val="right" w:leader="dot" w:pos="9360"/>
        </w:tabs>
      </w:pPr>
      <w:r>
        <w:rPr>
          <w:sz w:val="20"/>
        </w:rPr>
        <w:t>Current semantic cache and extended evidence</w:t>
      </w:r>
      <w:r>
        <w:rPr>
          <w:sz w:val="20"/>
        </w:rPr>
        <w:tab/>
        <w:t>8</w:t>
      </w:r>
    </w:p>
    <w:p>
      <w:pPr>
        <w:spacing w:after="0" w:line="240" w:lineRule="auto"/>
        <w:tabs>
          <w:tab w:val="right" w:leader="dot" w:pos="9360"/>
        </w:tabs>
      </w:pPr>
      <w:r>
        <w:rPr>
          <w:sz w:val="20"/>
        </w:rPr>
        <w:t>Current schema and authored document contracts</w:t>
      </w:r>
      <w:r>
        <w:rPr>
          <w:sz w:val="20"/>
        </w:rPr>
        <w:tab/>
        <w:t>9</w:t>
      </w:r>
    </w:p>
    <w:p>
      <w:pPr>
        <w:spacing w:after="0" w:line="240" w:lineRule="auto"/>
        <w:tabs>
          <w:tab w:val="right" w:leader="dot" w:pos="9360"/>
        </w:tabs>
      </w:pPr>
      <w:r>
        <w:rPr>
          <w:sz w:val="20"/>
        </w:rPr>
        <w:t>Native review and learning projections</w:t>
      </w:r>
      <w:r>
        <w:rPr>
          <w:sz w:val="20"/>
        </w:rPr>
        <w:tab/>
        <w:t>9</w:t>
      </w:r>
    </w:p>
    <w:p>
      <w:pPr>
        <w:spacing w:after="0" w:line="240" w:lineRule="auto"/>
        <w:tabs>
          <w:tab w:val="right" w:leader="dot" w:pos="9360"/>
        </w:tabs>
      </w:pPr>
      <w:r>
        <w:rPr>
          <w:sz w:val="20"/>
        </w:rPr>
        <w:t>Saved observation persistence</w:t>
      </w:r>
      <w:r>
        <w:rPr>
          <w:sz w:val="20"/>
        </w:rPr>
        <w:tab/>
        <w:t>9</w:t>
      </w:r>
    </w:p>
    <w:p>
      <w:pPr>
        <w:spacing w:after="0" w:line="240" w:lineRule="auto"/>
        <w:tabs>
          <w:tab w:val="right" w:leader="dot" w:pos="9360"/>
        </w:tabs>
      </w:pPr>
      <w:r>
        <w:rPr>
          <w:sz w:val="20"/>
        </w:rPr>
        <w:t>Regression commands and evidence</w:t>
      </w:r>
      <w:r>
        <w:rPr>
          <w:sz w:val="20"/>
        </w:rPr>
        <w:tab/>
        <w:t>10</w:t>
      </w:r>
    </w:p>
    <w:p>
      <w:pPr>
        <w:spacing w:after="0" w:line="240" w:lineRule="auto"/>
        <w:tabs>
          <w:tab w:val="right" w:leader="dot" w:pos="9360"/>
        </w:tabs>
      </w:pPr>
      <w:r>
        <w:rPr>
          <w:sz w:val="20"/>
        </w:rPr>
        <w:t>Rebuild and inspect these manuals</w:t>
      </w:r>
      <w:r>
        <w:rPr>
          <w:sz w:val="20"/>
        </w:rPr>
        <w:tab/>
        <w:t>10</w:t>
      </w:r>
    </w:p>
    <w:p>
      <w:pPr>
        <w:spacing w:after="0" w:line="240" w:lineRule="auto"/>
        <w:tabs>
          <w:tab w:val="right" w:leader="dot" w:pos="9360"/>
        </w:tabs>
      </w:pPr>
      <w:r>
        <w:rPr>
          <w:sz w:val="20"/>
        </w:rPr>
        <w:t>Business glossary implementation and checks</w:t>
      </w:r>
      <w:r>
        <w:rPr>
          <w:sz w:val="20"/>
        </w:rPr>
        <w:tab/>
        <w:t>11</w:t>
      </w:r>
    </w:p>
    <w:p>
      <w:pPr>
        <w:spacing w:after="0" w:line="240" w:lineRule="auto"/>
        <w:tabs>
          <w:tab w:val="right" w:leader="dot" w:pos="9360"/>
        </w:tabs>
      </w:pPr>
      <w:r>
        <w:rPr>
          <w:sz w:val="20"/>
        </w:rPr>
        <w:t>Offline translation and localized publication</w:t>
      </w:r>
      <w:r>
        <w:rPr>
          <w:sz w:val="20"/>
        </w:rPr>
        <w:tab/>
        <w:t>11</w:t>
      </w:r>
    </w:p>
    <w:p>
      <w:pPr>
        <w:spacing w:after="0" w:line="240" w:lineRule="auto"/>
        <w:tabs>
          <w:tab w:val="right" w:leader="dot" w:pos="9360"/>
        </w:tabs>
      </w:pPr>
      <w:r>
        <w:rPr>
          <w:sz w:val="20"/>
        </w:rPr>
        <w:t>Native validation and release evidence</w:t>
      </w:r>
      <w:r>
        <w:rPr>
          <w:sz w:val="20"/>
        </w:rPr>
        <w:tab/>
        <w:t>12</w:t>
      </w:r>
    </w:p>
    <w:p>
      <w:pPr>
        <w:spacing w:after="0" w:line="240" w:lineRule="auto"/>
        <w:tabs>
          <w:tab w:val="right" w:leader="dot" w:pos="9360"/>
        </w:tabs>
      </w:pPr>
      <w:r>
        <w:rPr>
          <w:sz w:val="20"/>
        </w:rPr>
        <w:t>Structured project profile contract</w:t>
      </w:r>
      <w:r>
        <w:rPr>
          <w:sz w:val="20"/>
        </w:rPr>
        <w:tab/>
        <w:t>12</w:t>
      </w:r>
    </w:p>
    <w:p>
      <w:pPr>
        <w:spacing w:after="0" w:line="240" w:lineRule="auto"/>
        <w:tabs>
          <w:tab w:val="right" w:leader="dot" w:pos="9360"/>
        </w:tabs>
      </w:pPr>
      <w:r>
        <w:rPr>
          <w:sz w:val="20"/>
        </w:rPr>
        <w:t>Quality analysis and revision comparison</w:t>
      </w:r>
      <w:r>
        <w:rPr>
          <w:sz w:val="20"/>
        </w:rPr>
        <w:tab/>
        <w:t>13</w:t>
      </w:r>
    </w:p>
    <w:p>
      <w:pPr>
        <w:spacing w:after="0" w:line="240" w:lineRule="auto"/>
        <w:tabs>
          <w:tab w:val="right" w:leader="dot" w:pos="9360"/>
        </w:tabs>
      </w:pPr>
      <w:r>
        <w:rPr>
          <w:sz w:val="20"/>
        </w:rPr>
        <w:t>Keyboard inspector implementation and validation</w:t>
      </w:r>
      <w:r>
        <w:rPr>
          <w:sz w:val="20"/>
        </w:rPr>
        <w:tab/>
        <w:t>13</w:t>
      </w:r>
    </w:p>
    <w:p>
      <w:pPr>
        <w:spacing w:after="0" w:line="240" w:lineRule="auto"/>
        <w:tabs>
          <w:tab w:val="right" w:leader="dot" w:pos="9360"/>
        </w:tabs>
      </w:pPr>
      <w:r>
        <w:rPr>
          <w:sz w:val="20"/>
        </w:rPr>
        <w:t>Command inventory implementation and validation</w:t>
      </w:r>
      <w:r>
        <w:rPr>
          <w:sz w:val="20"/>
        </w:rPr>
        <w:tab/>
        <w:t>14</w:t>
      </w:r>
    </w:p>
    <w:p>
      <w:pPr>
        <w:spacing w:after="0" w:line="240" w:lineRule="auto"/>
        <w:tabs>
          <w:tab w:val="right" w:leader="dot" w:pos="9360"/>
        </w:tabs>
      </w:pPr>
      <w:r>
        <w:rPr>
          <w:sz w:val="20"/>
        </w:rPr>
        <w:t>Dynamic control relationships and validation</w:t>
      </w:r>
      <w:r>
        <w:rPr>
          <w:sz w:val="20"/>
        </w:rPr>
        <w:tab/>
        <w:t>14</w:t>
      </w:r>
    </w:p>
    <w:p>
      <w:pPr>
        <w:spacing w:after="0" w:line="240" w:lineRule="auto"/>
        <w:tabs>
          <w:tab w:val="right" w:leader="dot" w:pos="9360"/>
        </w:tabs>
      </w:pPr>
      <w:r>
        <w:rPr>
          <w:sz w:val="20"/>
        </w:rPr>
        <w:t>Layout rule explanations and validation</w:t>
      </w:r>
      <w:r>
        <w:rPr>
          <w:sz w:val="20"/>
        </w:rPr>
        <w:tab/>
        <w:t>14</w:t>
      </w:r>
    </w:p>
    <w:p>
      <w:pPr>
        <w:spacing w:after="0" w:line="240" w:lineRule="auto"/>
        <w:tabs>
          <w:tab w:val="right" w:leader="dot" w:pos="9360"/>
        </w:tabs>
      </w:pPr>
      <w:r>
        <w:rPr>
          <w:sz w:val="20"/>
        </w:rPr>
        <w:t>Component dependencies and attributed metadata</w:t>
      </w:r>
      <w:r>
        <w:rPr>
          <w:sz w:val="20"/>
        </w:rPr>
        <w:tab/>
        <w:t>15</w:t>
      </w:r>
    </w:p>
    <w:p>
      <w:pPr>
        <w:spacing w:after="0" w:line="240" w:lineRule="auto"/>
        <w:tabs>
          <w:tab w:val="right" w:leader="dot" w:pos="9360"/>
        </w:tabs>
      </w:pPr>
      <w:r>
        <w:rPr>
          <w:sz w:val="20"/>
        </w:rPr>
        <w:t>Resolve form inheritance and frame overlays</w:t>
      </w:r>
      <w:r>
        <w:rPr>
          <w:sz w:val="20"/>
        </w:rPr>
        <w:tab/>
        <w:t>16</w:t>
      </w:r>
    </w:p>
    <w:p>
      <w:pPr>
        <w:spacing w:after="0" w:line="240" w:lineRule="auto"/>
        <w:tabs>
          <w:tab w:val="right" w:leader="dot" w:pos="9360"/>
        </w:tabs>
      </w:pPr>
      <w:r>
        <w:rPr>
          <w:sz w:val="20"/>
        </w:rPr>
        <w:t>Store attributed action purpose mappings</w:t>
      </w:r>
      <w:r>
        <w:rPr>
          <w:sz w:val="20"/>
        </w:rPr>
        <w:tab/>
        <w:t>16</w:t>
      </w:r>
    </w:p>
    <w:p>
      <w:pPr>
        <w:spacing w:after="0" w:line="240" w:lineRule="auto"/>
        <w:tabs>
          <w:tab w:val="right" w:leader="dot" w:pos="9360"/>
        </w:tabs>
      </w:pPr>
      <w:r>
        <w:rPr>
          <w:sz w:val="20"/>
        </w:rPr>
        <w:t>Compare attributed screen evidence and captured layouts</w:t>
      </w:r>
      <w:r>
        <w:rPr>
          <w:sz w:val="20"/>
        </w:rPr>
        <w:tab/>
        <w:t>17</w:t>
      </w:r>
    </w:p>
    <w:p>
      <w:pPr>
        <w:spacing w:after="0" w:line="240" w:lineRule="auto"/>
        <w:tabs>
          <w:tab w:val="right" w:leader="dot" w:pos="9360"/>
        </w:tabs>
      </w:pPr>
      <w:r>
        <w:rPr>
          <w:sz w:val="20"/>
        </w:rPr>
        <w:t>Source and revision evidence</w:t>
      </w:r>
      <w:r>
        <w:rPr>
          <w:sz w:val="20"/>
        </w:rPr>
        <w:tab/>
        <w:t>17</w:t>
      </w:r>
    </w:p>
    <w:p>
      <w:pPr>
        <w:spacing w:before="0" w:after="0" w:line="20" w:lineRule="exact"/>
      </w:pPr>
      <w:r>
        <w:rPr>
          <w:sz w:val="2"/>
        </w:rP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DPH-WP3-12.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DPH-WP3-12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DPH-WP3-12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b7927f288a7005afe44f58ee7107cf026a5681976137d1c69b3f93e0c70dce05</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e31910f431a73e1fc8fb872b8841a6ef8c51bf69cc522ab9748f1d2a5711846a</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f77424b469b0e054d8e711778066d4e46c1f4f330d4a27203b499ec08a222a6f</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