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Inspect migration and schema-version history</w:t>
      </w:r>
      <w:r>
        <w:rPr>
          <w:sz w:val="22"/>
        </w:rPr>
        <w:tab/>
        <w:t>25</w:t>
      </w:r>
    </w:p>
    <w:p>
      <w:pPr>
        <w:spacing w:after="0" w:line="240" w:lineRule="auto"/>
        <w:tabs>
          <w:tab w:val="right" w:leader="dot" w:pos="9360"/>
        </w:tabs>
      </w:pPr>
      <w:r>
        <w:rPr>
          <w:sz w:val="22"/>
        </w:rPr>
        <w:t>Compare screen history and visual changes</w:t>
      </w:r>
      <w:r>
        <w:rPr>
          <w:sz w:val="22"/>
        </w:rPr>
        <w:tab/>
        <w:t>26</w:t>
      </w:r>
    </w:p>
    <w:p>
      <w:pPr>
        <w:spacing w:after="0" w:line="240" w:lineRule="auto"/>
        <w:tabs>
          <w:tab w:val="right" w:leader="dot" w:pos="9360"/>
        </w:tabs>
      </w:pPr>
      <w:r>
        <w:rPr>
          <w:sz w:val="22"/>
        </w:rPr>
        <w:t>Record user actions and business purposes</w:t>
      </w:r>
      <w:r>
        <w:rPr>
          <w:sz w:val="22"/>
        </w:rPr>
        <w:tab/>
        <w:t>26</w:t>
      </w:r>
    </w:p>
    <w:p>
      <w:pPr>
        <w:spacing w:after="0" w:line="240" w:lineRule="auto"/>
        <w:tabs>
          <w:tab w:val="right" w:leader="dot" w:pos="9360"/>
        </w:tabs>
      </w:pPr>
      <w:r>
        <w:rPr>
          <w:sz w:val="22"/>
        </w:rPr>
        <w:t>Write attributed knowledge</w:t>
      </w:r>
      <w:r>
        <w:rPr>
          <w:sz w:val="22"/>
        </w:rPr>
        <w:tab/>
        <w:t>27</w:t>
      </w:r>
    </w:p>
    <w:p>
      <w:pPr>
        <w:spacing w:after="0" w:line="240" w:lineRule="auto"/>
        <w:tabs>
          <w:tab w:val="right" w:leader="dot" w:pos="9360"/>
        </w:tabs>
      </w:pPr>
      <w:r>
        <w:rPr>
          <w:sz w:val="22"/>
        </w:rPr>
        <w:t>Link authored sections to exact evidence</w:t>
      </w:r>
      <w:r>
        <w:rPr>
          <w:sz w:val="22"/>
        </w:rPr>
        <w:tab/>
        <w:t>27</w:t>
      </w:r>
    </w:p>
    <w:p>
      <w:pPr>
        <w:spacing w:after="0" w:line="240" w:lineRule="auto"/>
        <w:tabs>
          <w:tab w:val="right" w:leader="dot" w:pos="9360"/>
        </w:tabs>
      </w:pPr>
      <w:r>
        <w:rPr>
          <w:sz w:val="22"/>
        </w:rPr>
        <w:t>Review and retire knowledge</w:t>
      </w:r>
      <w:r>
        <w:rPr>
          <w:sz w:val="22"/>
        </w:rPr>
        <w:tab/>
        <w:t>28</w:t>
      </w:r>
    </w:p>
    <w:p>
      <w:pPr>
        <w:spacing w:after="0" w:line="240" w:lineRule="auto"/>
        <w:tabs>
          <w:tab w:val="right" w:leader="dot" w:pos="9360"/>
        </w:tabs>
      </w:pPr>
      <w:r>
        <w:rPr>
          <w:sz w:val="22"/>
        </w:rPr>
        <w:t>Review changed knowledge against evidence</w:t>
      </w:r>
      <w:r>
        <w:rPr>
          <w:sz w:val="22"/>
        </w:rPr>
        <w:tab/>
        <w:t>28</w:t>
      </w:r>
    </w:p>
    <w:p>
      <w:pPr>
        <w:spacing w:after="0" w:line="240" w:lineRule="auto"/>
        <w:tabs>
          <w:tab w:val="right" w:leader="dot" w:pos="9360"/>
        </w:tabs>
      </w:pPr>
      <w:r>
        <w:rPr>
          <w:sz w:val="22"/>
        </w:rPr>
        <w:t>Answer focused author questions</w:t>
      </w:r>
      <w:r>
        <w:rPr>
          <w:sz w:val="22"/>
        </w:rPr>
        <w:tab/>
        <w:t>28</w:t>
      </w:r>
    </w:p>
    <w:p>
      <w:pPr>
        <w:spacing w:after="0" w:line="240" w:lineRule="auto"/>
        <w:tabs>
          <w:tab w:val="right" w:leader="dot" w:pos="9360"/>
        </w:tabs>
      </w:pPr>
      <w:r>
        <w:rPr>
          <w:sz w:val="22"/>
        </w:rPr>
        <w:t>Preserve saved runtime observations</w:t>
      </w:r>
      <w:r>
        <w:rPr>
          <w:sz w:val="22"/>
        </w:rPr>
        <w:tab/>
        <w:t>29</w:t>
      </w:r>
    </w:p>
    <w:p>
      <w:pPr>
        <w:spacing w:after="0" w:line="240" w:lineRule="auto"/>
        <w:tabs>
          <w:tab w:val="right" w:leader="dot" w:pos="9360"/>
        </w:tabs>
      </w:pPr>
      <w:r>
        <w:rPr>
          <w:sz w:val="22"/>
        </w:rPr>
        <w:t>Retain captures and review rename continuity</w:t>
      </w:r>
      <w:r>
        <w:rPr>
          <w:sz w:val="22"/>
        </w:rPr>
        <w:tab/>
        <w:t>29</w:t>
      </w:r>
    </w:p>
    <w:p>
      <w:pPr>
        <w:spacing w:after="0" w:line="240" w:lineRule="auto"/>
        <w:tabs>
          <w:tab w:val="right" w:leader="dot" w:pos="9360"/>
        </w:tabs>
      </w:pPr>
      <w:r>
        <w:rPr>
          <w:sz w:val="22"/>
        </w:rPr>
        <w:t>Back up and restore a complete database</w:t>
      </w:r>
      <w:r>
        <w:rPr>
          <w:sz w:val="22"/>
        </w:rPr>
        <w:tab/>
        <w:t>29</w:t>
      </w:r>
    </w:p>
    <w:p>
      <w:pPr>
        <w:spacing w:after="0" w:line="240" w:lineRule="auto"/>
        <w:tabs>
          <w:tab w:val="right" w:leader="dot" w:pos="9360"/>
        </w:tabs>
      </w:pPr>
      <w:r>
        <w:rPr>
          <w:sz w:val="22"/>
        </w:rPr>
        <w:t>Publish manuals and handoffs</w:t>
      </w:r>
      <w:r>
        <w:rPr>
          <w:sz w:val="22"/>
        </w:rPr>
        <w:tab/>
        <w:t>30</w:t>
      </w:r>
    </w:p>
    <w:p>
      <w:pPr>
        <w:spacing w:after="0" w:line="240" w:lineRule="auto"/>
        <w:tabs>
          <w:tab w:val="right" w:leader="dot" w:pos="9360"/>
        </w:tabs>
      </w:pPr>
      <w:r>
        <w:rPr>
          <w:sz w:val="22"/>
        </w:rPr>
        <w:t>Translate and review saved sections</w:t>
      </w:r>
      <w:r>
        <w:rPr>
          <w:sz w:val="22"/>
        </w:rPr>
        <w:tab/>
        <w:t>30</w:t>
      </w:r>
    </w:p>
    <w:p>
      <w:pPr>
        <w:spacing w:after="0" w:line="240" w:lineRule="auto"/>
        <w:tabs>
          <w:tab w:val="right" w:leader="dot" w:pos="9360"/>
        </w:tabs>
      </w:pPr>
      <w:r>
        <w:rPr>
          <w:sz w:val="22"/>
        </w:rPr>
        <w:t>Publish localized text and source browsing</w:t>
      </w:r>
      <w:r>
        <w:rPr>
          <w:sz w:val="22"/>
        </w:rPr>
        <w:tab/>
        <w:t>30</w:t>
      </w:r>
    </w:p>
    <w:p>
      <w:pPr>
        <w:spacing w:after="0" w:line="240" w:lineRule="auto"/>
        <w:tabs>
          <w:tab w:val="right" w:leader="dot" w:pos="9360"/>
        </w:tabs>
      </w:pPr>
      <w:r>
        <w:rPr>
          <w:sz w:val="22"/>
        </w:rPr>
        <w:t>Validate a bundle in the application</w:t>
      </w:r>
      <w:r>
        <w:rPr>
          <w:sz w:val="22"/>
        </w:rPr>
        <w:tab/>
        <w:t>31</w:t>
      </w:r>
    </w:p>
    <w:p>
      <w:pPr>
        <w:spacing w:after="0" w:line="240" w:lineRule="auto"/>
        <w:tabs>
          <w:tab w:val="right" w:leader="dot" w:pos="9360"/>
        </w:tabs>
      </w:pPr>
      <w:r>
        <w:rPr>
          <w:sz w:val="22"/>
        </w:rPr>
        <w:t>Validate and preserve exports</w:t>
      </w:r>
      <w:r>
        <w:rPr>
          <w:sz w:val="22"/>
        </w:rPr>
        <w:tab/>
        <w:t>31</w:t>
      </w:r>
    </w:p>
    <w:p>
      <w:pPr>
        <w:spacing w:after="0" w:line="240" w:lineRule="auto"/>
        <w:tabs>
          <w:tab w:val="right" w:leader="dot" w:pos="9360"/>
        </w:tabs>
      </w:pPr>
      <w:r>
        <w:rPr>
          <w:sz w:val="22"/>
        </w:rPr>
        <w:t>Troubleshoot common states</w:t>
      </w:r>
      <w:r>
        <w:rPr>
          <w:sz w:val="22"/>
        </w:rPr>
        <w:tab/>
        <w:t>32</w:t>
      </w:r>
    </w:p>
    <w:p>
      <w:pPr>
        <w:spacing w:after="0" w:line="240" w:lineRule="auto"/>
        <w:tabs>
          <w:tab w:val="right" w:leader="dot" w:pos="9360"/>
        </w:tabs>
      </w:pPr>
      <w:r>
        <w:rPr>
          <w:sz w:val="22"/>
        </w:rPr>
        <w:t>Practice a maintenance handoff</w:t>
      </w:r>
      <w:r>
        <w:rPr>
          <w:sz w:val="22"/>
        </w:rPr>
        <w:tab/>
        <w:t>32</w:t>
      </w:r>
    </w:p>
    <w:p>
      <w:pPr>
        <w:spacing w:after="0" w:line="240" w:lineRule="auto"/>
        <w:tabs>
          <w:tab w:val="right" w:leader="dot" w:pos="9360"/>
        </w:tabs>
      </w:pPr>
      <w:r>
        <w:rPr>
          <w:sz w:val="22"/>
        </w:rPr>
        <w:t>Understand implementation status</w:t>
      </w:r>
      <w:r>
        <w:rPr>
          <w:sz w:val="22"/>
        </w:rPr>
        <w:tab/>
        <w:t>32</w:t>
      </w:r>
    </w:p>
    <w:p>
      <w:pPr>
        <w:spacing w:after="0" w:line="240" w:lineRule="auto"/>
        <w:tabs>
          <w:tab w:val="right" w:leader="dot" w:pos="9360"/>
        </w:tabs>
      </w:pPr>
      <w:r>
        <w:rPr>
          <w:sz w:val="22"/>
        </w:rPr>
        <w:t>Source and revision evidence</w:t>
      </w:r>
      <w:r>
        <w:rPr>
          <w:sz w:val="22"/>
        </w:rPr>
        <w:tab/>
        <w:t>33</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Inspect migration and schema-version history</w:t>
      </w:r>
    </w:p>
    <w:p>
      <w:r>
        <w:t>Start bin/Win32/Debug/DelphiProjectHandoff.exe and attach the application you intend to document, or open its captured database. In the upper-right page selector choose Database schema. In the leftmost kind selector choose migration. Keep the state selector at All to include readable script candidates and migration gaps. Enter part of a script filename or an explicit user_version assignment in the search box. Select a row.</w:t>
      </w:r>
    </w:p>
    <w:p>
      <w:r>
        <w:t>A migration changes database structure or data between application versions. DPH shows each referenced captured SQL script as a candidate. The evidence memo begins with a filename order candidate, explicit target-version assignments, verification requests, applied status and source fingerprint. Leading numeric filename prefixes provide intended-order candidates within each directory. Equivalent numbers such as 001 and 1 produce an explicit conflict. File numbers and captured loader enumeration do not establish the order used by a migration runner.</w:t>
      </w:r>
    </w:p>
    <w:p>
      <w:r>
        <w:t>SQLite user_version assignments with a supported nonnegative integer preserve their schema qualifier and statement line. Multiple assignments remain visible; DPH does not select a deployed winner. A query of user_version and SQLite schema_version are not promoted to an application target version. Other migration-framework version metadata and dynamic expressions remain unknown. Captured integrity_check, quick_check and foreign_key_check requests identify potential verification work; DPH does not run them and does not report a successful result.</w:t>
      </w:r>
    </w:p>
    <w:p>
      <w:r>
        <w:t>Drag the command bar scrollbar right to reveal the relationship selector and Follow relationship. Choose a captured schema evidence link and click Follow relationship to inspect the script declaration or gap. To read a script, select its migration row and click Open source. Source opens only when the attached bytes still match the capture. A migration gap cites the Pascal loader of an unavailable script; no missing SQL is reconstructed. Clear filters and use First page or Next page for larger inventories.</w:t>
      </w:r>
    </w:p>
    <w:p>
      <w:r>
        <w:t>Applied state remains unknown because source text is not a deployment ledger. Ask the maintainer to supply the intended migration framework, ordering rules, expected schema versions and recorded verification results. Save attributed explanations through Knowledge and review them against evidence. Full commands and a controlled practice project are in docs/guides/Schema_History_Run_and_Test.txt.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321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1e3d29f890b3827ff1bb9f7156df8d3420b1b67d7812e9bac3ccad31e0cf0937</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3a8b8550832a79f1514ec5dcd898e939b11f6bfd7b769af477e4e38d88411905</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