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12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0"/>
        </w:rPr>
        <w:t>Architecture and boundaries</w:t>
      </w:r>
      <w:r>
        <w:rPr>
          <w:sz w:val="20"/>
        </w:rPr>
        <w:tab/>
        <w:t>3</w:t>
      </w:r>
    </w:p>
    <w:p>
      <w:pPr>
        <w:spacing w:after="0" w:line="240" w:lineRule="auto"/>
        <w:tabs>
          <w:tab w:val="right" w:leader="dot" w:pos="9360"/>
        </w:tabs>
      </w:pPr>
      <w:r>
        <w:rPr>
          <w:sz w:val="20"/>
        </w:rPr>
        <w:t>Rework and acceptance status</w:t>
      </w:r>
      <w:r>
        <w:rPr>
          <w:sz w:val="20"/>
        </w:rPr>
        <w:tab/>
        <w:t>3</w:t>
      </w:r>
    </w:p>
    <w:p>
      <w:pPr>
        <w:spacing w:after="0" w:line="240" w:lineRule="auto"/>
        <w:tabs>
          <w:tab w:val="right" w:leader="dot" w:pos="9360"/>
        </w:tabs>
      </w:pPr>
      <w:r>
        <w:rPr>
          <w:sz w:val="20"/>
        </w:rPr>
        <w:t>Build and deployment</w:t>
      </w:r>
      <w:r>
        <w:rPr>
          <w:sz w:val="20"/>
        </w:rPr>
        <w:tab/>
        <w:t>3</w:t>
      </w:r>
    </w:p>
    <w:p>
      <w:pPr>
        <w:spacing w:after="0" w:line="240" w:lineRule="auto"/>
        <w:tabs>
          <w:tab w:val="right" w:leader="dot" w:pos="9360"/>
        </w:tabs>
      </w:pPr>
      <w:r>
        <w:rPr>
          <w:sz w:val="20"/>
        </w:rPr>
        <w:t>Input acquisition and project scope</w:t>
      </w:r>
      <w:r>
        <w:rPr>
          <w:sz w:val="20"/>
        </w:rPr>
        <w:tab/>
        <w:t>4</w:t>
      </w:r>
    </w:p>
    <w:p>
      <w:pPr>
        <w:spacing w:after="0" w:line="240" w:lineRule="auto"/>
        <w:tabs>
          <w:tab w:val="right" w:leader="dot" w:pos="9360"/>
        </w:tabs>
      </w:pPr>
      <w:r>
        <w:rPr>
          <w:sz w:val="20"/>
        </w:rPr>
        <w:t>Syntax contracts and limits</w:t>
      </w:r>
      <w:r>
        <w:rPr>
          <w:sz w:val="20"/>
        </w:rPr>
        <w:tab/>
        <w:t>4</w:t>
      </w:r>
    </w:p>
    <w:p>
      <w:pPr>
        <w:spacing w:after="0" w:line="240" w:lineRule="auto"/>
        <w:tabs>
          <w:tab w:val="right" w:leader="dot" w:pos="9360"/>
        </w:tabs>
      </w:pPr>
      <w:r>
        <w:rPr>
          <w:sz w:val="20"/>
        </w:rPr>
        <w:t>Symbols and typed relationships</w:t>
      </w:r>
      <w:r>
        <w:rPr>
          <w:sz w:val="20"/>
        </w:rPr>
        <w:tab/>
        <w:t>4</w:t>
      </w:r>
    </w:p>
    <w:p>
      <w:pPr>
        <w:spacing w:after="0" w:line="240" w:lineRule="auto"/>
        <w:tabs>
          <w:tab w:val="right" w:leader="dot" w:pos="9360"/>
        </w:tabs>
      </w:pPr>
      <w:r>
        <w:rPr>
          <w:sz w:val="20"/>
        </w:rPr>
        <w:t>Control flow and impact</w:t>
      </w:r>
      <w:r>
        <w:rPr>
          <w:sz w:val="20"/>
        </w:rPr>
        <w:tab/>
        <w:t>5</w:t>
      </w:r>
    </w:p>
    <w:p>
      <w:pPr>
        <w:spacing w:after="0" w:line="240" w:lineRule="auto"/>
        <w:tabs>
          <w:tab w:val="right" w:leader="dot" w:pos="9360"/>
        </w:tabs>
      </w:pPr>
      <w:r>
        <w:rPr>
          <w:sz w:val="20"/>
        </w:rPr>
        <w:t>SQLite generations and durability</w:t>
      </w:r>
      <w:r>
        <w:rPr>
          <w:sz w:val="20"/>
        </w:rPr>
        <w:tab/>
        <w:t>5</w:t>
      </w:r>
    </w:p>
    <w:p>
      <w:pPr>
        <w:spacing w:after="0" w:line="240" w:lineRule="auto"/>
        <w:tabs>
          <w:tab w:val="right" w:leader="dot" w:pos="9360"/>
        </w:tabs>
      </w:pPr>
      <w:r>
        <w:rPr>
          <w:sz w:val="20"/>
        </w:rPr>
        <w:t>Evidence and immutable history</w:t>
      </w:r>
      <w:r>
        <w:rPr>
          <w:sz w:val="20"/>
        </w:rPr>
        <w:tab/>
        <w:t>5</w:t>
      </w:r>
    </w:p>
    <w:p>
      <w:pPr>
        <w:spacing w:after="0" w:line="240" w:lineRule="auto"/>
        <w:tabs>
          <w:tab w:val="right" w:leader="dot" w:pos="9360"/>
        </w:tabs>
      </w:pPr>
      <w:r>
        <w:rPr>
          <w:sz w:val="20"/>
        </w:rPr>
        <w:t>Background coordination and cached views</w:t>
      </w:r>
      <w:r>
        <w:rPr>
          <w:sz w:val="20"/>
        </w:rPr>
        <w:tab/>
        <w:t>6</w:t>
      </w:r>
    </w:p>
    <w:p>
      <w:pPr>
        <w:spacing w:after="0" w:line="240" w:lineRule="auto"/>
        <w:tabs>
          <w:tab w:val="right" w:leader="dot" w:pos="9360"/>
        </w:tabs>
      </w:pPr>
      <w:r>
        <w:rPr>
          <w:sz w:val="20"/>
        </w:rPr>
        <w:t>FMX navigation and visualization</w:t>
      </w:r>
      <w:r>
        <w:rPr>
          <w:sz w:val="20"/>
        </w:rPr>
        <w:tab/>
        <w:t>6</w:t>
      </w:r>
    </w:p>
    <w:p>
      <w:pPr>
        <w:spacing w:after="0" w:line="240" w:lineRule="auto"/>
        <w:tabs>
          <w:tab w:val="right" w:leader="dot" w:pos="9360"/>
        </w:tabs>
      </w:pPr>
      <w:r>
        <w:rPr>
          <w:sz w:val="20"/>
        </w:rPr>
        <w:t>Curated knowledge and review</w:t>
      </w:r>
      <w:r>
        <w:rPr>
          <w:sz w:val="20"/>
        </w:rPr>
        <w:tab/>
        <w:t>6</w:t>
      </w:r>
    </w:p>
    <w:p>
      <w:pPr>
        <w:spacing w:after="0" w:line="240" w:lineRule="auto"/>
        <w:tabs>
          <w:tab w:val="right" w:leader="dot" w:pos="9360"/>
        </w:tabs>
      </w:pPr>
      <w:r>
        <w:rPr>
          <w:sz w:val="20"/>
        </w:rPr>
        <w:t>Canonical publication and privacy</w:t>
      </w:r>
      <w:r>
        <w:rPr>
          <w:sz w:val="20"/>
        </w:rPr>
        <w:tab/>
        <w:t>7</w:t>
      </w:r>
    </w:p>
    <w:p>
      <w:pPr>
        <w:spacing w:after="0" w:line="240" w:lineRule="auto"/>
        <w:tabs>
          <w:tab w:val="right" w:leader="dot" w:pos="9360"/>
        </w:tabs>
      </w:pPr>
      <w:r>
        <w:rPr>
          <w:sz w:val="20"/>
        </w:rPr>
        <w:t>HTML guides and bundle validation</w:t>
      </w:r>
      <w:r>
        <w:rPr>
          <w:sz w:val="20"/>
        </w:rPr>
        <w:tab/>
        <w:t>7</w:t>
      </w:r>
    </w:p>
    <w:p>
      <w:pPr>
        <w:spacing w:after="0" w:line="240" w:lineRule="auto"/>
        <w:tabs>
          <w:tab w:val="right" w:leader="dot" w:pos="9360"/>
        </w:tabs>
      </w:pPr>
      <w:r>
        <w:rPr>
          <w:sz w:val="20"/>
        </w:rPr>
        <w:t>Translation boundary</w:t>
      </w:r>
      <w:r>
        <w:rPr>
          <w:sz w:val="20"/>
        </w:rPr>
        <w:tab/>
        <w:t>8</w:t>
      </w:r>
    </w:p>
    <w:p>
      <w:pPr>
        <w:spacing w:after="0" w:line="240" w:lineRule="auto"/>
        <w:tabs>
          <w:tab w:val="right" w:leader="dot" w:pos="9360"/>
        </w:tabs>
      </w:pPr>
      <w:r>
        <w:rPr>
          <w:sz w:val="20"/>
        </w:rPr>
        <w:t>Verification and release discipline</w:t>
      </w:r>
      <w:r>
        <w:rPr>
          <w:sz w:val="20"/>
        </w:rPr>
        <w:tab/>
        <w:t>8</w:t>
      </w:r>
    </w:p>
    <w:p>
      <w:pPr>
        <w:spacing w:after="0" w:line="240" w:lineRule="auto"/>
        <w:tabs>
          <w:tab w:val="right" w:leader="dot" w:pos="9360"/>
        </w:tabs>
      </w:pPr>
      <w:r>
        <w:rPr>
          <w:sz w:val="20"/>
        </w:rPr>
        <w:t>Current semantic cache and extended evidence</w:t>
      </w:r>
      <w:r>
        <w:rPr>
          <w:sz w:val="20"/>
        </w:rPr>
        <w:tab/>
        <w:t>8</w:t>
      </w:r>
    </w:p>
    <w:p>
      <w:pPr>
        <w:spacing w:after="0" w:line="240" w:lineRule="auto"/>
        <w:tabs>
          <w:tab w:val="right" w:leader="dot" w:pos="9360"/>
        </w:tabs>
      </w:pPr>
      <w:r>
        <w:rPr>
          <w:sz w:val="20"/>
        </w:rPr>
        <w:t>Current schema and authored document contracts</w:t>
      </w:r>
      <w:r>
        <w:rPr>
          <w:sz w:val="20"/>
        </w:rPr>
        <w:tab/>
        <w:t>9</w:t>
      </w:r>
    </w:p>
    <w:p>
      <w:pPr>
        <w:spacing w:after="0" w:line="240" w:lineRule="auto"/>
        <w:tabs>
          <w:tab w:val="right" w:leader="dot" w:pos="9360"/>
        </w:tabs>
      </w:pPr>
      <w:r>
        <w:rPr>
          <w:sz w:val="20"/>
        </w:rPr>
        <w:t>Native review and learning projections</w:t>
      </w:r>
      <w:r>
        <w:rPr>
          <w:sz w:val="20"/>
        </w:rPr>
        <w:tab/>
        <w:t>9</w:t>
      </w:r>
    </w:p>
    <w:p>
      <w:pPr>
        <w:spacing w:after="0" w:line="240" w:lineRule="auto"/>
        <w:tabs>
          <w:tab w:val="right" w:leader="dot" w:pos="9360"/>
        </w:tabs>
      </w:pPr>
      <w:r>
        <w:rPr>
          <w:sz w:val="20"/>
        </w:rPr>
        <w:t>Saved observation persistence</w:t>
      </w:r>
      <w:r>
        <w:rPr>
          <w:sz w:val="20"/>
        </w:rPr>
        <w:tab/>
        <w:t>9</w:t>
      </w:r>
    </w:p>
    <w:p>
      <w:pPr>
        <w:spacing w:after="0" w:line="240" w:lineRule="auto"/>
        <w:tabs>
          <w:tab w:val="right" w:leader="dot" w:pos="9360"/>
        </w:tabs>
      </w:pPr>
      <w:r>
        <w:rPr>
          <w:sz w:val="20"/>
        </w:rPr>
        <w:t>Regression commands and evidence</w:t>
      </w:r>
      <w:r>
        <w:rPr>
          <w:sz w:val="20"/>
        </w:rPr>
        <w:tab/>
        <w:t>10</w:t>
      </w:r>
    </w:p>
    <w:p>
      <w:pPr>
        <w:spacing w:after="0" w:line="240" w:lineRule="auto"/>
        <w:tabs>
          <w:tab w:val="right" w:leader="dot" w:pos="9360"/>
        </w:tabs>
      </w:pPr>
      <w:r>
        <w:rPr>
          <w:sz w:val="20"/>
        </w:rPr>
        <w:t>Rebuild and inspect these manuals</w:t>
      </w:r>
      <w:r>
        <w:rPr>
          <w:sz w:val="20"/>
        </w:rPr>
        <w:tab/>
        <w:t>10</w:t>
      </w:r>
    </w:p>
    <w:p>
      <w:pPr>
        <w:spacing w:after="0" w:line="240" w:lineRule="auto"/>
        <w:tabs>
          <w:tab w:val="right" w:leader="dot" w:pos="9360"/>
        </w:tabs>
      </w:pPr>
      <w:r>
        <w:rPr>
          <w:sz w:val="20"/>
        </w:rPr>
        <w:t>Business glossary implementation and checks</w:t>
      </w:r>
      <w:r>
        <w:rPr>
          <w:sz w:val="20"/>
        </w:rPr>
        <w:tab/>
        <w:t>11</w:t>
      </w:r>
    </w:p>
    <w:p>
      <w:pPr>
        <w:spacing w:after="0" w:line="240" w:lineRule="auto"/>
        <w:tabs>
          <w:tab w:val="right" w:leader="dot" w:pos="9360"/>
        </w:tabs>
      </w:pPr>
      <w:r>
        <w:rPr>
          <w:sz w:val="20"/>
        </w:rPr>
        <w:t>Offline translation and localized publication</w:t>
      </w:r>
      <w:r>
        <w:rPr>
          <w:sz w:val="20"/>
        </w:rPr>
        <w:tab/>
        <w:t>11</w:t>
      </w:r>
    </w:p>
    <w:p>
      <w:pPr>
        <w:spacing w:after="0" w:line="240" w:lineRule="auto"/>
        <w:tabs>
          <w:tab w:val="right" w:leader="dot" w:pos="9360"/>
        </w:tabs>
      </w:pPr>
      <w:r>
        <w:rPr>
          <w:sz w:val="20"/>
        </w:rPr>
        <w:t>Native validation and release evidence</w:t>
      </w:r>
      <w:r>
        <w:rPr>
          <w:sz w:val="20"/>
        </w:rPr>
        <w:tab/>
        <w:t>12</w:t>
      </w:r>
    </w:p>
    <w:p>
      <w:pPr>
        <w:spacing w:after="0" w:line="240" w:lineRule="auto"/>
        <w:tabs>
          <w:tab w:val="right" w:leader="dot" w:pos="9360"/>
        </w:tabs>
      </w:pPr>
      <w:r>
        <w:rPr>
          <w:sz w:val="20"/>
        </w:rPr>
        <w:t>Structured project profile contract</w:t>
      </w:r>
      <w:r>
        <w:rPr>
          <w:sz w:val="20"/>
        </w:rPr>
        <w:tab/>
        <w:t>12</w:t>
      </w:r>
    </w:p>
    <w:p>
      <w:pPr>
        <w:spacing w:after="0" w:line="240" w:lineRule="auto"/>
        <w:tabs>
          <w:tab w:val="right" w:leader="dot" w:pos="9360"/>
        </w:tabs>
      </w:pPr>
      <w:r>
        <w:rPr>
          <w:sz w:val="20"/>
        </w:rPr>
        <w:t>Quality analysis and revision comparison</w:t>
      </w:r>
      <w:r>
        <w:rPr>
          <w:sz w:val="20"/>
        </w:rPr>
        <w:tab/>
        <w:t>13</w:t>
      </w:r>
    </w:p>
    <w:p>
      <w:pPr>
        <w:spacing w:after="0" w:line="240" w:lineRule="auto"/>
        <w:tabs>
          <w:tab w:val="right" w:leader="dot" w:pos="9360"/>
        </w:tabs>
      </w:pPr>
      <w:r>
        <w:rPr>
          <w:sz w:val="20"/>
        </w:rPr>
        <w:t>Keyboard inspector implementation and validation</w:t>
      </w:r>
      <w:r>
        <w:rPr>
          <w:sz w:val="20"/>
        </w:rPr>
        <w:tab/>
        <w:t>13</w:t>
      </w:r>
    </w:p>
    <w:p>
      <w:pPr>
        <w:spacing w:after="0" w:line="240" w:lineRule="auto"/>
        <w:tabs>
          <w:tab w:val="right" w:leader="dot" w:pos="9360"/>
        </w:tabs>
      </w:pPr>
      <w:r>
        <w:rPr>
          <w:sz w:val="20"/>
        </w:rPr>
        <w:t>Command inventory implementation and validation</w:t>
      </w:r>
      <w:r>
        <w:rPr>
          <w:sz w:val="20"/>
        </w:rPr>
        <w:tab/>
        <w:t>14</w:t>
      </w:r>
    </w:p>
    <w:p>
      <w:pPr>
        <w:spacing w:after="0" w:line="240" w:lineRule="auto"/>
        <w:tabs>
          <w:tab w:val="right" w:leader="dot" w:pos="9360"/>
        </w:tabs>
      </w:pPr>
      <w:r>
        <w:rPr>
          <w:sz w:val="20"/>
        </w:rPr>
        <w:t>Dynamic control relationships and validation</w:t>
      </w:r>
      <w:r>
        <w:rPr>
          <w:sz w:val="20"/>
        </w:rPr>
        <w:tab/>
        <w:t>14</w:t>
      </w:r>
    </w:p>
    <w:p>
      <w:pPr>
        <w:spacing w:after="0" w:line="240" w:lineRule="auto"/>
        <w:tabs>
          <w:tab w:val="right" w:leader="dot" w:pos="9360"/>
        </w:tabs>
      </w:pPr>
      <w:r>
        <w:rPr>
          <w:sz w:val="20"/>
        </w:rPr>
        <w:t>Layout rule explanations and validation</w:t>
      </w:r>
      <w:r>
        <w:rPr>
          <w:sz w:val="20"/>
        </w:rPr>
        <w:tab/>
        <w:t>14</w:t>
      </w:r>
    </w:p>
    <w:p>
      <w:pPr>
        <w:spacing w:after="0" w:line="240" w:lineRule="auto"/>
        <w:tabs>
          <w:tab w:val="right" w:leader="dot" w:pos="9360"/>
        </w:tabs>
      </w:pPr>
      <w:r>
        <w:rPr>
          <w:sz w:val="20"/>
        </w:rPr>
        <w:t>Component dependencies and attributed metadata</w:t>
      </w:r>
      <w:r>
        <w:rPr>
          <w:sz w:val="20"/>
        </w:rPr>
        <w:tab/>
        <w:t>15</w:t>
      </w:r>
    </w:p>
    <w:p>
      <w:pPr>
        <w:spacing w:after="0" w:line="240" w:lineRule="auto"/>
        <w:tabs>
          <w:tab w:val="right" w:leader="dot" w:pos="9360"/>
        </w:tabs>
      </w:pPr>
      <w:r>
        <w:rPr>
          <w:sz w:val="20"/>
        </w:rPr>
        <w:t>Resolve form inheritance and frame overlays</w:t>
      </w:r>
      <w:r>
        <w:rPr>
          <w:sz w:val="20"/>
        </w:rPr>
        <w:tab/>
        <w:t>16</w:t>
      </w:r>
    </w:p>
    <w:p>
      <w:pPr>
        <w:spacing w:after="0" w:line="240" w:lineRule="auto"/>
        <w:tabs>
          <w:tab w:val="right" w:leader="dot" w:pos="9360"/>
        </w:tabs>
      </w:pPr>
      <w:r>
        <w:rPr>
          <w:sz w:val="20"/>
        </w:rPr>
        <w:t>Store attributed action purpose mappings</w:t>
      </w:r>
      <w:r>
        <w:rPr>
          <w:sz w:val="20"/>
        </w:rPr>
        <w:tab/>
        <w:t>16</w:t>
      </w:r>
    </w:p>
    <w:p>
      <w:pPr>
        <w:spacing w:after="0" w:line="240" w:lineRule="auto"/>
        <w:tabs>
          <w:tab w:val="right" w:leader="dot" w:pos="9360"/>
        </w:tabs>
      </w:pPr>
      <w:r>
        <w:rPr>
          <w:sz w:val="20"/>
        </w:rPr>
        <w:t>Compare attributed screen evidence and captured layouts</w:t>
      </w:r>
      <w:r>
        <w:rPr>
          <w:sz w:val="20"/>
        </w:rPr>
        <w:tab/>
        <w:t>17</w:t>
      </w:r>
    </w:p>
    <w:p>
      <w:pPr>
        <w:spacing w:after="0" w:line="240" w:lineRule="auto"/>
        <w:tabs>
          <w:tab w:val="right" w:leader="dot" w:pos="9360"/>
        </w:tabs>
      </w:pPr>
      <w:r>
        <w:rPr>
          <w:sz w:val="20"/>
        </w:rPr>
        <w:t>Build a safe captured database connection inventory</w:t>
      </w:r>
      <w:r>
        <w:rPr>
          <w:sz w:val="20"/>
        </w:rPr>
        <w:tab/>
        <w:t>17</w:t>
      </w:r>
    </w:p>
    <w:p>
      <w:pPr>
        <w:spacing w:after="0" w:line="240" w:lineRule="auto"/>
        <w:tabs>
          <w:tab w:val="right" w:leader="dot" w:pos="9360"/>
        </w:tabs>
      </w:pPr>
      <w:r>
        <w:rPr>
          <w:sz w:val="20"/>
        </w:rPr>
        <w:t>Source and revision evidence</w:t>
      </w:r>
      <w:r>
        <w:rPr>
          <w:sz w:val="20"/>
        </w:rPr>
        <w:tab/>
        <w:t>18</w:t>
      </w:r>
    </w:p>
    <w:p>
      <w:pPr>
        <w:spacing w:before="0" w:after="0" w:line="20" w:lineRule="exact"/>
      </w:pPr>
      <w:r>
        <w:rPr>
          <w:sz w:val="2"/>
        </w:rPr>
        <w:fldChar w:fldCharType="end"/>
      </w:r>
    </w:p>
    <w:p>
      <w:r>
        <w:br w:type="page"/>
      </w:r>
    </w:p>
    <w:p>
      <w:pPr>
        <w:pStyle w:val="Heading1"/>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DPH-WP2-5,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DPH-WP3-12.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DPH-WP2-5 and DPH-WP3-12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DPH-WP3-12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Compare attributed screen evidence and captured layouts</w:t>
      </w:r>
    </w:p>
    <w:p>
      <w:r>
        <w:t>DPH.Workspace.ScreenHistory verifies managed PNG bytes against their saved image hashes, bounds each image and the union canvas to 16 million pixels with dimensions no greater than 8192 and encoded size no greater than 20 MiB, then decodes with the VCL PNG library on the worker. CPU bitmaps composite transparency on white and compare exact eight-bit RGB. No target form, class or executable is loaded. The report preserves image and metadata hashes, contributors, generation IDs, dimensions, counts and inclusive bounds; private managed paths are omitted.</w:t>
      </w:r>
    </w:p>
    <w:p>
      <w:r>
        <w:t>The screen_history worker command resolves screenshot IDs through the existing checksum-validated store. Optional layout comparison loads each image generation from its retained workspace cache. Missing or incompatible layout evidence yields layout_gap without discarding verified images. Parent-local component paths match captured classes and sorted inspector properties; duplicate identities are refused. Source offsets alone do not count as a change. Comparison supports 5000 components per form; all changes remain in the paged list, while previews draw at most 300 rectangles per side.</w:t>
      </w:r>
    </w:p>
    <w:p>
      <w:r>
        <w:t>DPH.UI.Main.fmx serializes the Screen history page, grid, image and paint controls, selectors, toolbar and details. Panels use client alignment in their grid cells. Source geometry is fitted on a common canvas in blue and orange. Request tokens plus the database identity prevent a late response from restoring evidence after a pair or path change. Processing and PNG comparison run in the existing worker; presentation uses FMX. No storage migration, runtime control construction or source mutation is required.</w:t>
      </w:r>
    </w:p>
    <w:p>
      <w:r>
        <w:t>Run tools/build-screen-history.cmd elevated for 73 checks covering exact pixels/bounds, transparency, size changes, altered bytes, union limits, text and binary DFM, FMX, parser/selection incompatibility, persisted image attribution, missing retained captures, native Compare, late-response rejection, pagination/filtering, swap, visible geometry and compact layout. Fixtures reuse bin/screen-history-validation. The owner catalog is restored after exercising cached open. Native PaintTo renders show actual DPH controls; controlled synthetic images do not establish target-runtime observations.</w:t>
      </w:r>
    </w:p>
    <w:p>
      <w:pPr>
        <w:pStyle w:val="Heading1"/>
      </w:pPr>
      <w:r>
        <w:t>Build a safe captured database connection inventory</w:t>
      </w:r>
    </w:p>
    <w:p>
      <w:r>
        <w:t>DPH.Workspace.DatabaseConnections projects captured text/binary DFM and FMX IR directly. A parent-property index joins database configuration and references to each candidate. An explicit class list covers common connection, dataset, data-source, transaction and session declarations; recognized property signals retain custom-class candidates without claiming vendor or runtime behavior. Existing component_field semantic relationships prevent duplicate Pascal field rows. Unmatched supported Pascal fields, variables and locals retain declaration evidence and unknown construction/configuration.</w:t>
      </w:r>
    </w:p>
    <w:p>
      <w:r>
        <w:t>Resolution uses source-local root and parent paths, explicitly qualified cross-form paths, expected target roles and captured logical aliases. There is no global short-name guess. Duplicate targets remain ambiguous. Named ConnectionDefName references share a definition row with explicit unavailable contents. Each row retains generation, source hash and range; exact outgoing and reverse IDs drive native Follow reference navigation. Missing inherited values, runtime assignments, factories and external definitions remain unknown. A 10000-row bound prevents an unbounded inventory.</w:t>
      </w:r>
    </w:p>
    <w:p>
      <w:r>
        <w:t>The projection never copies raw properties or source text into its configuration. Known parameter keys are retained with masked values; unknown keys use a generic label. Endpoints, credentials and entire connection strings remain masked. Only bounded identifiers for driver/protocol/dialect/charset/SSL, valid ports and explicit booleans are visible. Unsupported reference expressions are masked. Original captured source and caches are unchanged and may contain secrets; this feature is not a comprehensive secret-removal claim for the rest of DPH. No target driver, component class or database connection is created.</w:t>
      </w:r>
    </w:p>
    <w:p>
      <w:r>
        <w:t>DPH.UI.Main.fmx serializes every page control for the IDE and Object Inspector: purpose, horizontally scrolling toolbar, kind/text filters, paging, link selector, Follow reference, resizable list, labeled memo and status. LoadView rebuilds the projection for the accepted generation; ClearWorkspace discards borrowed rows before releasing their owner. Follow selects the exact target page after clearing filters. Compact validation requires a visible evidence area. Existing storage schema and analyzer contracts suffice.</w:t>
      </w:r>
    </w:p>
    <w:p>
      <w:r>
        <w:t>Run tools/build-database-connections.cmd elevated for 66 checks using real text/binary DFM, FMX and Pascal declarations, persisted/reopened captures, local/nested/cross-module links, aliases, duplicate and missing targets, sensitive canaries, validated settings, native paging/filtering/follow/empty states, capture replacement, compact layout and unchanged source/owner catalog. Fixtures reuse bin/database-connections-validation. Native PaintTo renders show DPH controls, not screenshots of an analyzed application. Regression evidence also covers 134 semantic/SQL and pinned-reference checks and 73 screen-history checks.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98ecd089264555c80cd293fbd5cc70fb6c6d0549e788f3f50313f76653874d3c</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1da99806fa3a71afbfe4c58e8e1bb40041d308e32b42fd06f412723c79f7799b</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924538cea0f766a19094f0fd41ff4381094e905f1a2e7db9474e3b6437bad292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62acdcbefdae51057f277c072c7d820798295da4b99f79a0705df25028389118</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3cf661d541014c2361d70c3deb1bac114e9497e4c17cc7067ab645f35c828657</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f625da53905b2baa35d1fdd3e70dda27e5cea31592c8d4041ba3c23497bf07fb</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0e1775bdc525d84c3634eef68822d2d063007928adbede094fe9c9a1ee4435e4</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3fb8ad4686fdda0b48d22e81b8eb8e5affde8abfd465181e15f881d476293660</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