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11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0"/>
        </w:rPr>
        <w:t>Architecture and boundaries</w:t>
      </w:r>
      <w:r>
        <w:rPr>
          <w:sz w:val="20"/>
        </w:rPr>
        <w:tab/>
        <w:t>3</w:t>
      </w:r>
    </w:p>
    <w:p>
      <w:pPr>
        <w:spacing w:after="0" w:line="240" w:lineRule="auto"/>
        <w:tabs>
          <w:tab w:val="right" w:leader="dot" w:pos="9360"/>
        </w:tabs>
      </w:pPr>
      <w:r>
        <w:rPr>
          <w:sz w:val="20"/>
        </w:rPr>
        <w:t>Rework and acceptance status</w:t>
      </w:r>
      <w:r>
        <w:rPr>
          <w:sz w:val="20"/>
        </w:rPr>
        <w:tab/>
        <w:t>3</w:t>
      </w:r>
    </w:p>
    <w:p>
      <w:pPr>
        <w:spacing w:after="0" w:line="240" w:lineRule="auto"/>
        <w:tabs>
          <w:tab w:val="right" w:leader="dot" w:pos="9360"/>
        </w:tabs>
      </w:pPr>
      <w:r>
        <w:rPr>
          <w:sz w:val="20"/>
        </w:rPr>
        <w:t>Build and deployment</w:t>
      </w:r>
      <w:r>
        <w:rPr>
          <w:sz w:val="20"/>
        </w:rPr>
        <w:tab/>
        <w:t>3</w:t>
      </w:r>
    </w:p>
    <w:p>
      <w:pPr>
        <w:spacing w:after="0" w:line="240" w:lineRule="auto"/>
        <w:tabs>
          <w:tab w:val="right" w:leader="dot" w:pos="9360"/>
        </w:tabs>
      </w:pPr>
      <w:r>
        <w:rPr>
          <w:sz w:val="20"/>
        </w:rPr>
        <w:t>Input acquisition and project scope</w:t>
      </w:r>
      <w:r>
        <w:rPr>
          <w:sz w:val="20"/>
        </w:rPr>
        <w:tab/>
        <w:t>4</w:t>
      </w:r>
    </w:p>
    <w:p>
      <w:pPr>
        <w:spacing w:after="0" w:line="240" w:lineRule="auto"/>
        <w:tabs>
          <w:tab w:val="right" w:leader="dot" w:pos="9360"/>
        </w:tabs>
      </w:pPr>
      <w:r>
        <w:rPr>
          <w:sz w:val="20"/>
        </w:rPr>
        <w:t>Syntax contracts and limits</w:t>
      </w:r>
      <w:r>
        <w:rPr>
          <w:sz w:val="20"/>
        </w:rPr>
        <w:tab/>
        <w:t>4</w:t>
      </w:r>
    </w:p>
    <w:p>
      <w:pPr>
        <w:spacing w:after="0" w:line="240" w:lineRule="auto"/>
        <w:tabs>
          <w:tab w:val="right" w:leader="dot" w:pos="9360"/>
        </w:tabs>
      </w:pPr>
      <w:r>
        <w:rPr>
          <w:sz w:val="20"/>
        </w:rPr>
        <w:t>Symbols and typed relationships</w:t>
      </w:r>
      <w:r>
        <w:rPr>
          <w:sz w:val="20"/>
        </w:rPr>
        <w:tab/>
        <w:t>4</w:t>
      </w:r>
    </w:p>
    <w:p>
      <w:pPr>
        <w:spacing w:after="0" w:line="240" w:lineRule="auto"/>
        <w:tabs>
          <w:tab w:val="right" w:leader="dot" w:pos="9360"/>
        </w:tabs>
      </w:pPr>
      <w:r>
        <w:rPr>
          <w:sz w:val="20"/>
        </w:rPr>
        <w:t>Control flow and impact</w:t>
      </w:r>
      <w:r>
        <w:rPr>
          <w:sz w:val="20"/>
        </w:rPr>
        <w:tab/>
        <w:t>5</w:t>
      </w:r>
    </w:p>
    <w:p>
      <w:pPr>
        <w:spacing w:after="0" w:line="240" w:lineRule="auto"/>
        <w:tabs>
          <w:tab w:val="right" w:leader="dot" w:pos="9360"/>
        </w:tabs>
      </w:pPr>
      <w:r>
        <w:rPr>
          <w:sz w:val="20"/>
        </w:rPr>
        <w:t>SQLite generations and durability</w:t>
      </w:r>
      <w:r>
        <w:rPr>
          <w:sz w:val="20"/>
        </w:rPr>
        <w:tab/>
        <w:t>5</w:t>
      </w:r>
    </w:p>
    <w:p>
      <w:pPr>
        <w:spacing w:after="0" w:line="240" w:lineRule="auto"/>
        <w:tabs>
          <w:tab w:val="right" w:leader="dot" w:pos="9360"/>
        </w:tabs>
      </w:pPr>
      <w:r>
        <w:rPr>
          <w:sz w:val="20"/>
        </w:rPr>
        <w:t>Evidence and immutable history</w:t>
      </w:r>
      <w:r>
        <w:rPr>
          <w:sz w:val="20"/>
        </w:rPr>
        <w:tab/>
        <w:t>5</w:t>
      </w:r>
    </w:p>
    <w:p>
      <w:pPr>
        <w:spacing w:after="0" w:line="240" w:lineRule="auto"/>
        <w:tabs>
          <w:tab w:val="right" w:leader="dot" w:pos="9360"/>
        </w:tabs>
      </w:pPr>
      <w:r>
        <w:rPr>
          <w:sz w:val="20"/>
        </w:rPr>
        <w:t>Background coordination and cached views</w:t>
      </w:r>
      <w:r>
        <w:rPr>
          <w:sz w:val="20"/>
        </w:rPr>
        <w:tab/>
        <w:t>6</w:t>
      </w:r>
    </w:p>
    <w:p>
      <w:pPr>
        <w:spacing w:after="0" w:line="240" w:lineRule="auto"/>
        <w:tabs>
          <w:tab w:val="right" w:leader="dot" w:pos="9360"/>
        </w:tabs>
      </w:pPr>
      <w:r>
        <w:rPr>
          <w:sz w:val="20"/>
        </w:rPr>
        <w:t>FMX navigation and visualization</w:t>
      </w:r>
      <w:r>
        <w:rPr>
          <w:sz w:val="20"/>
        </w:rPr>
        <w:tab/>
        <w:t>6</w:t>
      </w:r>
    </w:p>
    <w:p>
      <w:pPr>
        <w:spacing w:after="0" w:line="240" w:lineRule="auto"/>
        <w:tabs>
          <w:tab w:val="right" w:leader="dot" w:pos="9360"/>
        </w:tabs>
      </w:pPr>
      <w:r>
        <w:rPr>
          <w:sz w:val="20"/>
        </w:rPr>
        <w:t>Curated knowledge and review</w:t>
      </w:r>
      <w:r>
        <w:rPr>
          <w:sz w:val="20"/>
        </w:rPr>
        <w:tab/>
        <w:t>6</w:t>
      </w:r>
    </w:p>
    <w:p>
      <w:pPr>
        <w:spacing w:after="0" w:line="240" w:lineRule="auto"/>
        <w:tabs>
          <w:tab w:val="right" w:leader="dot" w:pos="9360"/>
        </w:tabs>
      </w:pPr>
      <w:r>
        <w:rPr>
          <w:sz w:val="20"/>
        </w:rPr>
        <w:t>Canonical publication and privacy</w:t>
      </w:r>
      <w:r>
        <w:rPr>
          <w:sz w:val="20"/>
        </w:rPr>
        <w:tab/>
        <w:t>7</w:t>
      </w:r>
    </w:p>
    <w:p>
      <w:pPr>
        <w:spacing w:after="0" w:line="240" w:lineRule="auto"/>
        <w:tabs>
          <w:tab w:val="right" w:leader="dot" w:pos="9360"/>
        </w:tabs>
      </w:pPr>
      <w:r>
        <w:rPr>
          <w:sz w:val="20"/>
        </w:rPr>
        <w:t>HTML guides and bundle validation</w:t>
      </w:r>
      <w:r>
        <w:rPr>
          <w:sz w:val="20"/>
        </w:rPr>
        <w:tab/>
        <w:t>7</w:t>
      </w:r>
    </w:p>
    <w:p>
      <w:pPr>
        <w:spacing w:after="0" w:line="240" w:lineRule="auto"/>
        <w:tabs>
          <w:tab w:val="right" w:leader="dot" w:pos="9360"/>
        </w:tabs>
      </w:pPr>
      <w:r>
        <w:rPr>
          <w:sz w:val="20"/>
        </w:rPr>
        <w:t>Translation boundary</w:t>
      </w:r>
      <w:r>
        <w:rPr>
          <w:sz w:val="20"/>
        </w:rPr>
        <w:tab/>
        <w:t>8</w:t>
      </w:r>
    </w:p>
    <w:p>
      <w:pPr>
        <w:spacing w:after="0" w:line="240" w:lineRule="auto"/>
        <w:tabs>
          <w:tab w:val="right" w:leader="dot" w:pos="9360"/>
        </w:tabs>
      </w:pPr>
      <w:r>
        <w:rPr>
          <w:sz w:val="20"/>
        </w:rPr>
        <w:t>Verification and release discipline</w:t>
      </w:r>
      <w:r>
        <w:rPr>
          <w:sz w:val="20"/>
        </w:rPr>
        <w:tab/>
        <w:t>8</w:t>
      </w:r>
    </w:p>
    <w:p>
      <w:pPr>
        <w:spacing w:after="0" w:line="240" w:lineRule="auto"/>
        <w:tabs>
          <w:tab w:val="right" w:leader="dot" w:pos="9360"/>
        </w:tabs>
      </w:pPr>
      <w:r>
        <w:rPr>
          <w:sz w:val="20"/>
        </w:rPr>
        <w:t>Current semantic cache and extended evidence</w:t>
      </w:r>
      <w:r>
        <w:rPr>
          <w:sz w:val="20"/>
        </w:rPr>
        <w:tab/>
        <w:t>8</w:t>
      </w:r>
    </w:p>
    <w:p>
      <w:pPr>
        <w:spacing w:after="0" w:line="240" w:lineRule="auto"/>
        <w:tabs>
          <w:tab w:val="right" w:leader="dot" w:pos="9360"/>
        </w:tabs>
      </w:pPr>
      <w:r>
        <w:rPr>
          <w:sz w:val="20"/>
        </w:rPr>
        <w:t>Current schema and authored document contracts</w:t>
      </w:r>
      <w:r>
        <w:rPr>
          <w:sz w:val="20"/>
        </w:rPr>
        <w:tab/>
        <w:t>9</w:t>
      </w:r>
    </w:p>
    <w:p>
      <w:pPr>
        <w:spacing w:after="0" w:line="240" w:lineRule="auto"/>
        <w:tabs>
          <w:tab w:val="right" w:leader="dot" w:pos="9360"/>
        </w:tabs>
      </w:pPr>
      <w:r>
        <w:rPr>
          <w:sz w:val="20"/>
        </w:rPr>
        <w:t>Native review and learning projections</w:t>
      </w:r>
      <w:r>
        <w:rPr>
          <w:sz w:val="20"/>
        </w:rPr>
        <w:tab/>
        <w:t>9</w:t>
      </w:r>
    </w:p>
    <w:p>
      <w:pPr>
        <w:spacing w:after="0" w:line="240" w:lineRule="auto"/>
        <w:tabs>
          <w:tab w:val="right" w:leader="dot" w:pos="9360"/>
        </w:tabs>
      </w:pPr>
      <w:r>
        <w:rPr>
          <w:sz w:val="20"/>
        </w:rPr>
        <w:t>Saved observation persistence</w:t>
      </w:r>
      <w:r>
        <w:rPr>
          <w:sz w:val="20"/>
        </w:rPr>
        <w:tab/>
        <w:t>9</w:t>
      </w:r>
    </w:p>
    <w:p>
      <w:pPr>
        <w:spacing w:after="0" w:line="240" w:lineRule="auto"/>
        <w:tabs>
          <w:tab w:val="right" w:leader="dot" w:pos="9360"/>
        </w:tabs>
      </w:pPr>
      <w:r>
        <w:rPr>
          <w:sz w:val="20"/>
        </w:rPr>
        <w:t>Regression commands and evidence</w:t>
      </w:r>
      <w:r>
        <w:rPr>
          <w:sz w:val="20"/>
        </w:rPr>
        <w:tab/>
        <w:t>10</w:t>
      </w:r>
    </w:p>
    <w:p>
      <w:pPr>
        <w:spacing w:after="0" w:line="240" w:lineRule="auto"/>
        <w:tabs>
          <w:tab w:val="right" w:leader="dot" w:pos="9360"/>
        </w:tabs>
      </w:pPr>
      <w:r>
        <w:rPr>
          <w:sz w:val="20"/>
        </w:rPr>
        <w:t>Rebuild and inspect these manuals</w:t>
      </w:r>
      <w:r>
        <w:rPr>
          <w:sz w:val="20"/>
        </w:rPr>
        <w:tab/>
        <w:t>10</w:t>
      </w:r>
    </w:p>
    <w:p>
      <w:pPr>
        <w:spacing w:after="0" w:line="240" w:lineRule="auto"/>
        <w:tabs>
          <w:tab w:val="right" w:leader="dot" w:pos="9360"/>
        </w:tabs>
      </w:pPr>
      <w:r>
        <w:rPr>
          <w:sz w:val="20"/>
        </w:rPr>
        <w:t>Business glossary implementation and checks</w:t>
      </w:r>
      <w:r>
        <w:rPr>
          <w:sz w:val="20"/>
        </w:rPr>
        <w:tab/>
        <w:t>11</w:t>
      </w:r>
    </w:p>
    <w:p>
      <w:pPr>
        <w:spacing w:after="0" w:line="240" w:lineRule="auto"/>
        <w:tabs>
          <w:tab w:val="right" w:leader="dot" w:pos="9360"/>
        </w:tabs>
      </w:pPr>
      <w:r>
        <w:rPr>
          <w:sz w:val="20"/>
        </w:rPr>
        <w:t>Offline translation and localized publication</w:t>
      </w:r>
      <w:r>
        <w:rPr>
          <w:sz w:val="20"/>
        </w:rPr>
        <w:tab/>
        <w:t>11</w:t>
      </w:r>
    </w:p>
    <w:p>
      <w:pPr>
        <w:spacing w:after="0" w:line="240" w:lineRule="auto"/>
        <w:tabs>
          <w:tab w:val="right" w:leader="dot" w:pos="9360"/>
        </w:tabs>
      </w:pPr>
      <w:r>
        <w:rPr>
          <w:sz w:val="20"/>
        </w:rPr>
        <w:t>Native validation and release evidence</w:t>
      </w:r>
      <w:r>
        <w:rPr>
          <w:sz w:val="20"/>
        </w:rPr>
        <w:tab/>
        <w:t>12</w:t>
      </w:r>
    </w:p>
    <w:p>
      <w:pPr>
        <w:spacing w:after="0" w:line="240" w:lineRule="auto"/>
        <w:tabs>
          <w:tab w:val="right" w:leader="dot" w:pos="9360"/>
        </w:tabs>
      </w:pPr>
      <w:r>
        <w:rPr>
          <w:sz w:val="20"/>
        </w:rPr>
        <w:t>Structured project profile contract</w:t>
      </w:r>
      <w:r>
        <w:rPr>
          <w:sz w:val="20"/>
        </w:rPr>
        <w:tab/>
        <w:t>12</w:t>
      </w:r>
    </w:p>
    <w:p>
      <w:pPr>
        <w:spacing w:after="0" w:line="240" w:lineRule="auto"/>
        <w:tabs>
          <w:tab w:val="right" w:leader="dot" w:pos="9360"/>
        </w:tabs>
      </w:pPr>
      <w:r>
        <w:rPr>
          <w:sz w:val="20"/>
        </w:rPr>
        <w:t>Quality analysis and revision comparison</w:t>
      </w:r>
      <w:r>
        <w:rPr>
          <w:sz w:val="20"/>
        </w:rPr>
        <w:tab/>
        <w:t>13</w:t>
      </w:r>
    </w:p>
    <w:p>
      <w:pPr>
        <w:spacing w:after="0" w:line="240" w:lineRule="auto"/>
        <w:tabs>
          <w:tab w:val="right" w:leader="dot" w:pos="9360"/>
        </w:tabs>
      </w:pPr>
      <w:r>
        <w:rPr>
          <w:sz w:val="20"/>
        </w:rPr>
        <w:t>Keyboard inspector implementation and validation</w:t>
      </w:r>
      <w:r>
        <w:rPr>
          <w:sz w:val="20"/>
        </w:rPr>
        <w:tab/>
        <w:t>13</w:t>
      </w:r>
    </w:p>
    <w:p>
      <w:pPr>
        <w:spacing w:after="0" w:line="240" w:lineRule="auto"/>
        <w:tabs>
          <w:tab w:val="right" w:leader="dot" w:pos="9360"/>
        </w:tabs>
      </w:pPr>
      <w:r>
        <w:rPr>
          <w:sz w:val="20"/>
        </w:rPr>
        <w:t>Command inventory implementation and validation</w:t>
      </w:r>
      <w:r>
        <w:rPr>
          <w:sz w:val="20"/>
        </w:rPr>
        <w:tab/>
        <w:t>14</w:t>
      </w:r>
    </w:p>
    <w:p>
      <w:pPr>
        <w:spacing w:after="0" w:line="240" w:lineRule="auto"/>
        <w:tabs>
          <w:tab w:val="right" w:leader="dot" w:pos="9360"/>
        </w:tabs>
      </w:pPr>
      <w:r>
        <w:rPr>
          <w:sz w:val="20"/>
        </w:rPr>
        <w:t>Dynamic control relationships and validation</w:t>
      </w:r>
      <w:r>
        <w:rPr>
          <w:sz w:val="20"/>
        </w:rPr>
        <w:tab/>
        <w:t>14</w:t>
      </w:r>
    </w:p>
    <w:p>
      <w:pPr>
        <w:spacing w:after="0" w:line="240" w:lineRule="auto"/>
        <w:tabs>
          <w:tab w:val="right" w:leader="dot" w:pos="9360"/>
        </w:tabs>
      </w:pPr>
      <w:r>
        <w:rPr>
          <w:sz w:val="20"/>
        </w:rPr>
        <w:t>Layout rule explanations and validation</w:t>
      </w:r>
      <w:r>
        <w:rPr>
          <w:sz w:val="20"/>
        </w:rPr>
        <w:tab/>
        <w:t>14</w:t>
      </w:r>
    </w:p>
    <w:p>
      <w:pPr>
        <w:spacing w:after="0" w:line="240" w:lineRule="auto"/>
        <w:tabs>
          <w:tab w:val="right" w:leader="dot" w:pos="9360"/>
        </w:tabs>
      </w:pPr>
      <w:r>
        <w:rPr>
          <w:sz w:val="20"/>
        </w:rPr>
        <w:t>Component dependencies and attributed metadata</w:t>
      </w:r>
      <w:r>
        <w:rPr>
          <w:sz w:val="20"/>
        </w:rPr>
        <w:tab/>
        <w:t>15</w:t>
      </w:r>
    </w:p>
    <w:p>
      <w:pPr>
        <w:spacing w:after="0" w:line="240" w:lineRule="auto"/>
        <w:tabs>
          <w:tab w:val="right" w:leader="dot" w:pos="9360"/>
        </w:tabs>
      </w:pPr>
      <w:r>
        <w:rPr>
          <w:sz w:val="20"/>
        </w:rPr>
        <w:t>Resolve form inheritance and frame overlays</w:t>
      </w:r>
      <w:r>
        <w:rPr>
          <w:sz w:val="20"/>
        </w:rPr>
        <w:tab/>
        <w:t>16</w:t>
      </w:r>
    </w:p>
    <w:p>
      <w:pPr>
        <w:spacing w:after="0" w:line="240" w:lineRule="auto"/>
        <w:tabs>
          <w:tab w:val="right" w:leader="dot" w:pos="9360"/>
        </w:tabs>
      </w:pPr>
      <w:r>
        <w:rPr>
          <w:sz w:val="20"/>
        </w:rPr>
        <w:t>Store attributed action purpose mappings</w:t>
      </w:r>
      <w:r>
        <w:rPr>
          <w:sz w:val="20"/>
        </w:rPr>
        <w:tab/>
        <w:t>16</w:t>
      </w:r>
    </w:p>
    <w:p>
      <w:pPr>
        <w:spacing w:after="0" w:line="240" w:lineRule="auto"/>
        <w:tabs>
          <w:tab w:val="right" w:leader="dot" w:pos="9360"/>
        </w:tabs>
      </w:pPr>
      <w:r>
        <w:rPr>
          <w:sz w:val="20"/>
        </w:rPr>
        <w:t>Source and revision evidence</w:t>
      </w:r>
      <w:r>
        <w:rPr>
          <w:sz w:val="20"/>
        </w:rPr>
        <w:tab/>
        <w:t>17</w:t>
      </w:r>
    </w:p>
    <w:p>
      <w:pPr>
        <w:spacing w:before="0" w:after="0" w:line="20" w:lineRule="exact"/>
      </w:pPr>
      <w:r>
        <w:rPr>
          <w:sz w:val="2"/>
        </w:rPr>
        <w:fldChar w:fldCharType="end"/>
      </w:r>
    </w:p>
    <w:p>
      <w:r>
        <w:br w:type="page"/>
      </w:r>
    </w:p>
    <w:p>
      <w:pPr>
        <w:pStyle w:val="Heading1"/>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DPH.UI.ProjectProfile.fmx and DPH.UI.Glossary.fmx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DPH-WP2-5,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DPH-WP3-12.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kind. Ordinary titles stay stable; structured glossary names can change while their identity and history remain intact.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H: development backups are enabled. Allow at least 60 seconds for this USB drive to wake before assessing availability.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DPH-WP2-5 and DPH-WP3-12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Business glossary implementation and checks</w:t>
      </w:r>
    </w:p>
    <w:p>
      <w:r>
        <w:t>DPH.Knowledge.Glossary validates a business_glossary structured record with term, aliases, definition, examples and relevance/evidence context. Names normalize case and repeated whitespace. Terms/aliases are bounded to 128 characters, 32 aliases per term, definitions/examples to 16384 characters, context to 4096 characters and the record to 64 KiB. Unknown fields, duplicate fields and non-text aliases are rejected.</w:t>
      </w:r>
    </w:p>
    <w:p>
      <w:r>
        <w:t>The existing migration 009 structured_json column stores the exact term fields on each immutable knowledge revision; no new migration is needed. SaveKnowledge enforces glossary kind, user document and all-reader audience, generated body agreement, project-local name uniqueness, type preservation and optimistic revision checks. Glossary titles can change while the knowledge ID and prior structured revisions remain intact. Retired records continue reserving their current names.</w:t>
      </w:r>
    </w:p>
    <w:p>
      <w:r>
        <w:t>DPH.UI.Glossary.fmx defines every term editor control for the IDE/Object Inspector. DPH.UI.Main.fmx defines the glossary list, filter, detail memo and commands. Apply prepares a draft in the existing Knowledge pipeline. The modal editor retains a cloned saved revision so a background refresh cannot invalidate its input pointer. Current source links, explicit review, search and stale-source tracking use existing repository contracts.</w:t>
      </w:r>
    </w:p>
    <w:p>
      <w:r>
        <w:t>DPH-LEARNING-8 publication emits a dedicated HTML glossary index and indexes/glossary.jsonl from the canonical knowledge records. Both user and engineering DOCX use those same records. Validate compares the glossary JSONL with the canonical glossary subset; recomputing the artifact hash cannot conceal divergent content. Older publication versions remain readable under their prior contract.</w:t>
      </w:r>
    </w:p>
    <w:p>
      <w:r>
        <w:t>From an elevated Command Prompt run cd /d "C:\New Delphi Projects\Delphi Project Handoff", then tools\build-glossary.cmd. The suite uses the fixed ignored bin\glossary-validation directory and controlled fixtures. It checks field validation, normalized conflicts, persistence, rename, immutable revisions, stale edits/reviews, isolation, source-linked invalidation, search, publication agreement/exclusions/tampering and IDE-designed native form workflows at normal/minimum sizes. Native images are FMX PaintTo renders of actual instantiated controls; they are not screenshots of the analyzed target application.</w:t>
      </w:r>
    </w:p>
    <w:p>
      <w:r>
        <w:t>Build the application with tools\build-wp0.cmd. Run tools\build-wp5.cmd for the existing knowledge/link/review regressions and tools\build-wp6.cmd for publishing/translation regressions. A FAIL or nonzero exit means the corresponding check failed. See docs\phase1-glossary-validation.json and the glossary completion note for actual current run evidence.</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TDPHWorkspaceView.ProjectMembers projects captured syntax files into a selected-scope catalog without filesystem discovery. DPH.UI.Main.fmx defines separate Known databases and Selected project subpages, with a native list and evidence memo. Program, library and package declarations retain source references; project properties and references retain captured values and child conditions. Parent conditions may apply even when a child has none recorded. tests\DPH.Tests.ProjectCatalog.dpr checks a selected group, missing referenced project, output kinds, settings, native selection and input immutability.</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Keyboard inspector implementation and validation</w:t>
      </w:r>
    </w:p>
    <w:p>
      <w:r>
        <w:t>DPH.Workspace.Keyboard projects captured text and binary form IR into source-backed component records. A parent-property index avoids rescanning every node for every component. Rows retain generation, source SHA256, line and byte extents, original property values and explicit unknowns. Numeric shortcut conflicts normalize decimal and hexadecimal codes within each serialized form; sibling TabOrder conflicts stay parent-local. Unique local action declarations carry separate shortcut and source evidence; uncaptured custom, external or inherited actions remain unresolved.</w:t>
      </w:r>
    </w:p>
    <w:p>
      <w:r>
        <w:t>DPH.UI.Main.fmx serializes every inspector control for the IDE and Object Inspector. The Keyboard and focus page filters readable evidence, sorts sibling TabOrder and uses 250-row pages. TDPHKeyboardInspector.ReadSource enforces matching generation, source identity, project containment, text availability and source hash before navigation. Binary forms expose byte evidence without applying it as text lines. No database migration or target execution is required.</w:t>
      </w:r>
    </w:p>
    <w:p>
      <w:r>
        <w:t>Run tools\build-keyboard.cmd elevated for 55 checks covering actual DFM, FMX and binary parsing, action references, conflicts, unknown states, readable key names, source safeguards, pagination and instantiated FMX controls. The fixed bin/keyboard-validation fixture avoids new disposable test folders. Native PaintTo images in docs/phase1-keyboard-workspace.png and phase1-keyboard-compact.png are renders of running DPH controls, not target application screenshots. The suite checks the user catalog and selected fixture bytes remain unchanged. Runtime traversal and accessibility conformance require separate observed tests.</w:t>
      </w:r>
    </w:p>
    <w:p>
      <w:pPr>
        <w:pStyle w:val="Heading1"/>
      </w:pPr>
      <w:r>
        <w:t>Command inventory implementation and validation</w:t>
      </w:r>
    </w:p>
    <w:p>
      <w:r>
        <w:t>DPH.Workspace.Commands builds command records from captured component properties in DPH.Workspace.Keyboard. It indexes parent paths and form-local names, distinguishes duplicate or incompatible references, and joins event properties by exact source and byte location to confirmed static semantic binds relationships. Every handler retains its own identity, relation, target symbol, range and source fingerprint. Action handlers and shortcuts remain separate from component declarations. Uncaptured inheritance, custom classes, external names and runtime dispatch remain qualified.</w:t>
      </w:r>
    </w:p>
    <w:p>
      <w:r>
        <w:t>DPH.UI.Main.fmx serializes the Menus and commands controls for IDE editing. The page provides kind and text filters, 250-row pagination, independent handler selection and Explain navigation. Command and action source commands reuse the keyboard inspector generation, hash and containment checks. Loading a replacement capture clears stale command rows. No database migration or target execution is required.</w:t>
      </w:r>
    </w:p>
    <w:p>
      <w:r>
        <w:t>Run tools\build-commands.cmd elevated for 62 focused checks using actual text DFM, binary DFM, FMX and semantic fixtures, including action execute/update, own click and popup handlers, unresolved references, pagination and native control bindings. Fixtures reuse bin/commands-validation. Source bytes and the user catalog are checked unchanged. PaintTo renders in docs/phase1-commands-workspace.png and phase1-commands-compact.png show running DPH controls, not screenshots of the target app. The keyboard suite remains a required regression because both inspectors share captured properties.</w:t>
      </w:r>
    </w:p>
    <w:p>
      <w:pPr>
        <w:pStyle w:val="Heading1"/>
      </w:pPr>
      <w:r>
        <w:t>Dynamic control relationships and validation</w:t>
      </w:r>
    </w:p>
    <w:p>
      <w:r>
        <w:t>DPH.Analysis.Symbols captures constructor owner expressions and visual property assignments in reusable routine facts. VisualSites joins them to creation-site identities after cache reuse. Unique same-routine result handles support parent and event declaration references. Multiple constructors, intervening variable writes and assignments before construction prevent attribution and retain ambiguous evidence. Target declarations are inferred lexical references; no runtime binding or reaching-definition proof is claimed. DPHSemanticVersion is DPH-WP3-12 so older semantic captures are reassessed.</w:t>
      </w:r>
    </w:p>
    <w:p>
      <w:r>
        <w:t>DPH.Workspace.DynamicControls indexes the new relationships and retains target symbols, source hashes, ranges, conditions and generation evidence. DPH.UI.Main.fmx serializes the filter, 250-row list, details, relationship selector and Explain controls for the IDE. Changing capture clears stale rows. Missing references disable Explain reference. Creation sites remain distinct from serialized form geometry and observed screenshot evidence. No database migration or runtime UI construction was introduced.</w:t>
      </w:r>
    </w:p>
    <w:p>
      <w:r>
        <w:t>Run tools\build-dynamic-controls.cmd elevated for 51 focused checks, including owner/parent/event references, nil, reused and overwritten variables, pre-creation assignments, unresolved expressions, loop counts, exact fresh/cache equivalence, pagination and native form controls. Fixtures reuse bin/dynamic-validation. The 134-check semantic regression and 62-check command inventory regression pass, as does the actual app and FMX resource baseline. Historical phase evidence is preserved; current semantic evidence is docs/phase1-dynamic-semantics-regression.json. Native normal/compact PaintTo renders show running DPH controls, not target screenshots.</w:t>
      </w:r>
    </w:p>
    <w:p>
      <w:pPr>
        <w:pStyle w:val="Heading1"/>
      </w:pPr>
      <w:r>
        <w:t>Layout rule explanations and validation</w:t>
      </w:r>
    </w:p>
    <w:p>
      <w:r>
        <w:t>DPH.Workspace.Keyboard retains captured layout properties from reusable form IR. DPH.Workspace.LayoutRules indexes serialized parents and their properties, preserving source ranges and fingerprints. Describe explains VCL and FMX alignment modes, exact anchor tokens, geometry, spacing, constraints, autosizing, wrapping, DPI and resize handlers. Missing values and inheritance are qualified rather than filled with assumed defaults. Contradictory captured minimum and maximum constraints produce a review candidate.</w:t>
      </w:r>
    </w:p>
    <w:p>
      <w:r>
        <w:t>Educational numeric examples require explicit recognized anchors and Align=None on an ordinary child with a captured parent. Opposing edges change size by the parent delta; trailing edges change position; leading edges preserve position. Unanchored axes, active or unknown alignment, inherited and root objects suppress unsupported calculations. These are basic rule examples and never an evaluation of the VCL or FMX layout engine or final runtime geometry.</w:t>
      </w:r>
    </w:p>
    <w:p>
      <w:r>
        <w:t>DPH.UI.Main.fmx serializes every new page control for IDE editing. The page provides full-text filtering, 250-row pagination, validated positive or negative deltas, source verification, a horizontal command bar and a resizable scrollable detail area. Replacing a capture clears stale rows. No target classes are instantiated and no database migration or analyzer-version change is needed.</w:t>
      </w:r>
    </w:p>
    <w:p>
      <w:r>
        <w:t>Run tools\build-layout-rules.cmd elevated for 56 focused checks using real text DFM, binary DFM and FMX parsing and native form controls. Tests cover growth and shrinking, active alignment, inherited and missing rules, unknown anchors, constraints, parent properties, navigation guards, pagination, invalid and overflowing input and normal and compact layouts. Fixtures reuse bin/layout-validation. The shared keyboard suite passes 55 checks and dynamic controls passes 51. The actual application and FMX baseline pass. Native PaintTo renders show DPH controls rather than target screenshots.</w:t>
      </w:r>
    </w:p>
    <w:p>
      <w:pPr>
        <w:pStyle w:val="Heading1"/>
      </w:pPr>
      <w:r>
        <w:t>Component dependencies and attributed metadata</w:t>
      </w:r>
    </w:p>
    <w:p>
      <w:r>
        <w:t>DPH.Workspace.ComponentDependencies indexes captured semantic class declarations by qualified and simple name, joins them to serialized component classes, and preserves declaration ranges, source hashes, conditions and generation context. Unique matches are inferred candidates rather than compiler binding proof. Ambiguous or absent matches remain explicit. Captured package declarations and unavailable inputs are context only; membership, installed versions and vendor origin are not inferred.</w:t>
      </w:r>
    </w:p>
    <w:p>
      <w:r>
        <w:t>DPH.Knowledge.ComponentDependency validates bounded text fields for class identity, declaring unit, package/product, vendor, version/configuration, support and evidence. DPH.UI.ComponentDependency.fmx serializes the scrollable editor. The main page controls are serialized in DPH.UI.Main.fmx. Apply prepares a structured Knowledge draft; the existing worker saves it with attributed revision history. Storage enforces identity, canonical readable body, case-insensitive uniqueness, stale-edit protection and retention of structured fields. No schema migration or target component loading was added.</w:t>
      </w:r>
    </w:p>
    <w:p>
      <w:r>
        <w:t>Saved dependency records participate in Knowledge search, engineering publication, evidence links and named review. Editing reopens review; retired class identities stay reserved. The native inspector refreshes saved metadata without changing source resolution, protects unsaved drafts, provides 250-row pagination, filtering, source guards and unique-candidate Explain navigation.</w:t>
      </w:r>
    </w:p>
    <w:p>
      <w:r>
        <w:t>Run tools\build-component-dependencies.cmd elevated for the focused acceptance suite. It exercises real text/binary DFM and FMX parsing, unique/ambiguous/unresolved class candidates, captured packages and missing dependencies, SQLite reopen/history/review/search/publication, duplicate and stale edits, native editor round trips, navigation, pagination and compact layout. Fixtures reuse bin/component-dependencies-validation. Native PaintTo images show DPH controls rather than target screenshots. Shared Knowledge, glossary and layout regressions and the actual app/FMX baseline are also checked. See the current completion record for measured counts.</w:t>
      </w:r>
    </w:p>
    <w:p>
      <w:pPr>
        <w:pStyle w:val="Heading1"/>
      </w:pPr>
      <w:r>
        <w:t>Resolve form inheritance and frame overlays</w:t>
      </w:r>
    </w:p>
    <w:p>
      <w:r>
        <w:t>DPH.Workspace.FormInheritance resolves an inherited root through its matching Pascal class and captured ancestor relationship to one captured base form. Class-to-form lookup uses the matching Pascal file stem and serialized root class. Qualified frame names disambiguate duplicate simple names. Custom resource mappings and aliases may remain unresolved. Conditional ancestry is not silently selected.</w:t>
      </w:r>
    </w:p>
    <w:p>
      <w:r>
        <w:t>The resolver copies base trees, matches inherited children by parent-local name and class, appends local property histories and expands inline frames independently. Root renaming preserves base children. Properties and events retain exact source/hash/range, condition and generation origins. Collection bodies retain serialized history but collection-item merging is explicitly unresolved. Missing bases, duplicate matches, partial forms, incompatible/orphan overlays and cycles are diagnosed.</w:t>
      </w:r>
    </w:p>
    <w:p>
      <w:r>
        <w:t>The IDE-editable main FMX page provides filter, 250-row pagination, an origin selector, source navigation and a scrollable explanation. Origin source uses the existing generation/fingerprint/root/text checks. Capture replacement clears borrowed rows and origin pointers. No storage schema changes, target instantiation or runtime UI construction were introduced. Existing form-design and other inspector qualifications remain in effect.</w:t>
      </w:r>
    </w:p>
    <w:p>
      <w:r>
        <w:t>Run tools\build-form-inheritance.cmd elevated. Controlled fixtures reuse bin/form-inheritance-validation and exercise actual text/binary DFM and FMX parsing, three-level form inheritance, inherited and separately overridden frames, qualified ambiguity, event nil, conditional/missing ancestry, cycles, provenance, cache equivalence, source safeguards and native compact layout. Work is bounded to 64 levels, 200000 component visits and 100000 output rows; gaps are capped at 10000 per selected form. Exceeded work/output bounds reject the overlay operation explicitly. Native PaintTo renders show DPH controls, not target screenshots.</w:t>
      </w:r>
    </w:p>
    <w:p>
      <w:pPr>
        <w:pStyle w:val="Heading1"/>
      </w:pPr>
      <w:r>
        <w:t>Store attributed action purpose mappings</w:t>
      </w:r>
    </w:p>
    <w:p>
      <w:r>
        <w:t>DPH.Workspace.ActionPurposes derives candidate targets from the captured source path and parent-local component path. A case-insensitive SHA256 identity is stable across parser node-number changes. Duplicate paths remain ambiguous and disable Edit and Explain. A unique captured component range supplies its semantic object key; no runtime action or business intent is inferred. Project tasks use a GUID identity and no object link. Unmatched saved UI targets remain historical or unresolved.</w:t>
      </w:r>
    </w:p>
    <w:p>
      <w:r>
        <w:t>DPH.Knowledge.ActionPurpose validates twelve bounded string fields, requires the name, purpose, steps, outcome and evidence, and derives the readable Knowledge body. DPH.Storage.Database preserves the record type, stable target identity, object scope, user_help kind, user document and user audience. Duplicate target records are refused, including retired identities. Ordinary Knowledge editing cannot discard structured fields; stale saves and reviews retain the existing concurrency protections.</w:t>
      </w:r>
    </w:p>
    <w:p>
      <w:r>
        <w:t>DPH.UI.ActionPurpose.fmx and the Action purposes tab in DPH.UI.Main.fmx serialize every native control for IDE editing. Apply prepares the existing Knowledge draft and preserves its exact evidence links; Save persists it. Named review appends a revision; subsequent edits reopen review. Search and publication use the same attributed Knowledge record. Existing storage migrations suffice; no new schema or runtime UI construction is required.</w:t>
      </w:r>
    </w:p>
    <w:p>
      <w:r>
        <w:t>Run tools/build-action-purposes.cmd elevated for parser, binary DFM, FMX, identity and ambiguity checks, database persistence, duplicate and stale protection, named review, history, search, exported bundle validation, HTML and user DOCX text, native editor Apply/Cancel, task drafts, filtering, pagination and compact layout. Fixtures reuse bin/action-purposes-validation. Native PaintTo images show real DPH controls; they are not screenshots of the analyzed application.</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be976f2199be2c8e86a0cf8be936d008aa83739cf116c3e81ca68bf3692fc8e7</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98ecd089264555c80cd293fbd5cc70fb6c6d0549e788f3f50313f76653874d3c</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1da99806fa3a71afbfe4c58e8e1bb40041d308e32b42fd06f412723c79f7799b</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8b0a82186f7831bd1c27bf377409ac6e49b77c228666e6087fca8758c85d4cc7</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1bc634e14dbc4d2b2b94d566fcca9eae7911fd1299b70ef7378dcba577c80778</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924538cea0f766a19094f0fd41ff4381094e905f1a2e7db9474e3b6437bad292</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62acdcbefdae51057f277c072c7d820798295da4b99f79a0705df25028389118</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4d591bea9ea684acbd96826d0a69363e3700b7c3c414daca8cf59684b74a51a1</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DPH.Workspace.Worker.pas</w:t>
      </w:r>
    </w:p>
    <w:p>
      <w:pPr>
        <w:spacing w:after="20"/>
      </w:pPr>
      <w:r>
        <w:rPr>
          <w:rFonts w:ascii="Consolas" w:hAnsi="Consolas"/>
          <w:sz w:val="16"/>
        </w:rPr>
        <w:t>3818fff9f49e530546653f7ad39108a9ee83f79de69ead6306894ef8ddc1e2ab</w:t>
      </w:r>
    </w:p>
    <w:p>
      <w:pPr>
        <w:keepNext/>
        <w:spacing w:after="0"/>
      </w:pPr>
      <w:r>
        <w:rPr>
          <w:sz w:val="18"/>
        </w:rPr>
        <w:t>DPH.UI.Main.fmx</w:t>
      </w:r>
    </w:p>
    <w:p>
      <w:pPr>
        <w:spacing w:after="20"/>
      </w:pPr>
      <w:r>
        <w:rPr>
          <w:rFonts w:ascii="Consolas" w:hAnsi="Consolas"/>
          <w:sz w:val="16"/>
        </w:rPr>
        <w:t>4d7d953c654ca15dc9529e17ca2a1bc6461a79dc972ad062ab7dc22c1f8742f4</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6e5013d9f91305e49f1317918c1b36f91782c85a25352eccd025ea66ecfc7dd8</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