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Architecture and boundaries</w:t>
      </w:r>
      <w:r>
        <w:rPr>
          <w:sz w:val="22"/>
        </w:rPr>
        <w:tab/>
        <w:t>4</w:t>
      </w:r>
    </w:p>
    <w:p>
      <w:pPr>
        <w:spacing w:after="0" w:line="240" w:lineRule="auto"/>
        <w:tabs>
          <w:tab w:val="right" w:leader="dot" w:pos="9360"/>
        </w:tabs>
      </w:pPr>
      <w:r>
        <w:rPr>
          <w:sz w:val="22"/>
        </w:rPr>
        <w:t>Rework and acceptance status</w:t>
      </w:r>
      <w:r>
        <w:rPr>
          <w:sz w:val="22"/>
        </w:rPr>
        <w:tab/>
        <w:t>4</w:t>
      </w:r>
    </w:p>
    <w:p>
      <w:pPr>
        <w:spacing w:after="0" w:line="240" w:lineRule="auto"/>
        <w:tabs>
          <w:tab w:val="right" w:leader="dot" w:pos="9360"/>
        </w:tabs>
      </w:pPr>
      <w:r>
        <w:rPr>
          <w:sz w:val="22"/>
        </w:rPr>
        <w:t>Build and deployment</w:t>
      </w:r>
      <w:r>
        <w:rPr>
          <w:sz w:val="22"/>
        </w:rPr>
        <w:tab/>
        <w:t>4</w:t>
      </w:r>
    </w:p>
    <w:p>
      <w:pPr>
        <w:spacing w:after="0" w:line="240" w:lineRule="auto"/>
        <w:tabs>
          <w:tab w:val="right" w:leader="dot" w:pos="9360"/>
        </w:tabs>
      </w:pPr>
      <w:r>
        <w:rPr>
          <w:sz w:val="22"/>
        </w:rPr>
        <w:t>Input acquisition and project scope</w:t>
      </w:r>
      <w:r>
        <w:rPr>
          <w:sz w:val="22"/>
        </w:rPr>
        <w:tab/>
        <w:t>5</w:t>
      </w:r>
    </w:p>
    <w:p>
      <w:pPr>
        <w:spacing w:after="0" w:line="240" w:lineRule="auto"/>
        <w:tabs>
          <w:tab w:val="right" w:leader="dot" w:pos="9360"/>
        </w:tabs>
      </w:pPr>
      <w:r>
        <w:rPr>
          <w:sz w:val="22"/>
        </w:rPr>
        <w:t>Syntax contracts and limits</w:t>
      </w:r>
      <w:r>
        <w:rPr>
          <w:sz w:val="22"/>
        </w:rPr>
        <w:tab/>
        <w:t>5</w:t>
      </w:r>
    </w:p>
    <w:p>
      <w:pPr>
        <w:spacing w:after="0" w:line="240" w:lineRule="auto"/>
        <w:tabs>
          <w:tab w:val="right" w:leader="dot" w:pos="9360"/>
        </w:tabs>
      </w:pPr>
      <w:r>
        <w:rPr>
          <w:sz w:val="22"/>
        </w:rPr>
        <w:t>Symbols and typed relationships</w:t>
      </w:r>
      <w:r>
        <w:rPr>
          <w:sz w:val="22"/>
        </w:rPr>
        <w:tab/>
        <w:t>5</w:t>
      </w:r>
    </w:p>
    <w:p>
      <w:pPr>
        <w:spacing w:after="0" w:line="240" w:lineRule="auto"/>
        <w:tabs>
          <w:tab w:val="right" w:leader="dot" w:pos="9360"/>
        </w:tabs>
      </w:pPr>
      <w:r>
        <w:rPr>
          <w:sz w:val="22"/>
        </w:rPr>
        <w:t>Control flow and impact</w:t>
      </w:r>
      <w:r>
        <w:rPr>
          <w:sz w:val="22"/>
        </w:rPr>
        <w:tab/>
        <w:t>6</w:t>
      </w:r>
    </w:p>
    <w:p>
      <w:pPr>
        <w:spacing w:after="0" w:line="240" w:lineRule="auto"/>
        <w:tabs>
          <w:tab w:val="right" w:leader="dot" w:pos="9360"/>
        </w:tabs>
      </w:pPr>
      <w:r>
        <w:rPr>
          <w:sz w:val="22"/>
        </w:rPr>
        <w:t>SQLite generations and durability</w:t>
      </w:r>
      <w:r>
        <w:rPr>
          <w:sz w:val="22"/>
        </w:rPr>
        <w:tab/>
        <w:t>6</w:t>
      </w:r>
    </w:p>
    <w:p>
      <w:pPr>
        <w:spacing w:after="0" w:line="240" w:lineRule="auto"/>
        <w:tabs>
          <w:tab w:val="right" w:leader="dot" w:pos="9360"/>
        </w:tabs>
      </w:pPr>
      <w:r>
        <w:rPr>
          <w:sz w:val="22"/>
        </w:rPr>
        <w:t>Evidence and immutable history</w:t>
      </w:r>
      <w:r>
        <w:rPr>
          <w:sz w:val="22"/>
        </w:rPr>
        <w:tab/>
        <w:t>6</w:t>
      </w:r>
    </w:p>
    <w:p>
      <w:pPr>
        <w:spacing w:after="0" w:line="240" w:lineRule="auto"/>
        <w:tabs>
          <w:tab w:val="right" w:leader="dot" w:pos="9360"/>
        </w:tabs>
      </w:pPr>
      <w:r>
        <w:rPr>
          <w:sz w:val="22"/>
        </w:rPr>
        <w:t>Background coordination and cached views</w:t>
      </w:r>
      <w:r>
        <w:rPr>
          <w:sz w:val="22"/>
        </w:rPr>
        <w:tab/>
        <w:t>7</w:t>
      </w:r>
    </w:p>
    <w:p>
      <w:pPr>
        <w:spacing w:after="0" w:line="240" w:lineRule="auto"/>
        <w:tabs>
          <w:tab w:val="right" w:leader="dot" w:pos="9360"/>
        </w:tabs>
      </w:pPr>
      <w:r>
        <w:rPr>
          <w:sz w:val="22"/>
        </w:rPr>
        <w:t>FMX navigation and visualization</w:t>
      </w:r>
      <w:r>
        <w:rPr>
          <w:sz w:val="22"/>
        </w:rPr>
        <w:tab/>
        <w:t>7</w:t>
      </w:r>
    </w:p>
    <w:p>
      <w:pPr>
        <w:spacing w:after="0" w:line="240" w:lineRule="auto"/>
        <w:tabs>
          <w:tab w:val="right" w:leader="dot" w:pos="9360"/>
        </w:tabs>
      </w:pPr>
      <w:r>
        <w:rPr>
          <w:sz w:val="22"/>
        </w:rPr>
        <w:t>Curated knowledge and review</w:t>
      </w:r>
      <w:r>
        <w:rPr>
          <w:sz w:val="22"/>
        </w:rPr>
        <w:tab/>
        <w:t>7</w:t>
      </w:r>
    </w:p>
    <w:p>
      <w:pPr>
        <w:spacing w:after="0" w:line="240" w:lineRule="auto"/>
        <w:tabs>
          <w:tab w:val="right" w:leader="dot" w:pos="9360"/>
        </w:tabs>
      </w:pPr>
      <w:r>
        <w:rPr>
          <w:sz w:val="22"/>
        </w:rPr>
        <w:t>Canonical publication and privacy</w:t>
      </w:r>
      <w:r>
        <w:rPr>
          <w:sz w:val="22"/>
        </w:rPr>
        <w:tab/>
        <w:t>8</w:t>
      </w:r>
    </w:p>
    <w:p>
      <w:pPr>
        <w:spacing w:after="0" w:line="240" w:lineRule="auto"/>
        <w:tabs>
          <w:tab w:val="right" w:leader="dot" w:pos="9360"/>
        </w:tabs>
      </w:pPr>
      <w:r>
        <w:rPr>
          <w:sz w:val="22"/>
        </w:rPr>
        <w:t>HTML guides and bundle validation</w:t>
      </w:r>
      <w:r>
        <w:rPr>
          <w:sz w:val="22"/>
        </w:rPr>
        <w:tab/>
        <w:t>8</w:t>
      </w:r>
    </w:p>
    <w:p>
      <w:pPr>
        <w:spacing w:after="0" w:line="240" w:lineRule="auto"/>
        <w:tabs>
          <w:tab w:val="right" w:leader="dot" w:pos="9360"/>
        </w:tabs>
      </w:pPr>
      <w:r>
        <w:rPr>
          <w:sz w:val="22"/>
        </w:rPr>
        <w:t>Translation boundary</w:t>
      </w:r>
      <w:r>
        <w:rPr>
          <w:sz w:val="22"/>
        </w:rPr>
        <w:tab/>
        <w:t>9</w:t>
      </w:r>
    </w:p>
    <w:p>
      <w:pPr>
        <w:spacing w:after="0" w:line="240" w:lineRule="auto"/>
        <w:tabs>
          <w:tab w:val="right" w:leader="dot" w:pos="9360"/>
        </w:tabs>
      </w:pPr>
      <w:r>
        <w:rPr>
          <w:sz w:val="22"/>
        </w:rPr>
        <w:t>Verification and release discipline</w:t>
      </w:r>
      <w:r>
        <w:rPr>
          <w:sz w:val="22"/>
        </w:rPr>
        <w:tab/>
        <w:t>9</w:t>
      </w:r>
    </w:p>
    <w:p>
      <w:pPr>
        <w:spacing w:after="0" w:line="240" w:lineRule="auto"/>
        <w:tabs>
          <w:tab w:val="right" w:leader="dot" w:pos="9360"/>
        </w:tabs>
      </w:pPr>
      <w:r>
        <w:rPr>
          <w:sz w:val="22"/>
        </w:rPr>
        <w:t>Current semantic cache and extended evidence</w:t>
      </w:r>
      <w:r>
        <w:rPr>
          <w:sz w:val="22"/>
        </w:rPr>
        <w:tab/>
        <w:t>9</w:t>
      </w:r>
    </w:p>
    <w:p>
      <w:pPr>
        <w:spacing w:after="0" w:line="240" w:lineRule="auto"/>
        <w:tabs>
          <w:tab w:val="right" w:leader="dot" w:pos="9360"/>
        </w:tabs>
      </w:pPr>
      <w:r>
        <w:rPr>
          <w:sz w:val="22"/>
        </w:rPr>
        <w:t>Current schema and authored document contracts</w:t>
      </w:r>
      <w:r>
        <w:rPr>
          <w:sz w:val="22"/>
        </w:rPr>
        <w:tab/>
        <w:t>10</w:t>
      </w:r>
    </w:p>
    <w:p>
      <w:pPr>
        <w:spacing w:after="0" w:line="240" w:lineRule="auto"/>
        <w:tabs>
          <w:tab w:val="right" w:leader="dot" w:pos="9360"/>
        </w:tabs>
      </w:pPr>
      <w:r>
        <w:rPr>
          <w:sz w:val="22"/>
        </w:rPr>
        <w:t>Native review and learning projections</w:t>
      </w:r>
      <w:r>
        <w:rPr>
          <w:sz w:val="22"/>
        </w:rPr>
        <w:tab/>
        <w:t>10</w:t>
      </w:r>
    </w:p>
    <w:p>
      <w:pPr>
        <w:spacing w:after="0" w:line="240" w:lineRule="auto"/>
        <w:tabs>
          <w:tab w:val="right" w:leader="dot" w:pos="9360"/>
        </w:tabs>
      </w:pPr>
      <w:r>
        <w:rPr>
          <w:sz w:val="22"/>
        </w:rPr>
        <w:t>Saved observation persistence</w:t>
      </w:r>
      <w:r>
        <w:rPr>
          <w:sz w:val="22"/>
        </w:rPr>
        <w:tab/>
        <w:t>10</w:t>
      </w:r>
    </w:p>
    <w:p>
      <w:pPr>
        <w:spacing w:after="0" w:line="240" w:lineRule="auto"/>
        <w:tabs>
          <w:tab w:val="right" w:leader="dot" w:pos="9360"/>
        </w:tabs>
      </w:pPr>
      <w:r>
        <w:rPr>
          <w:sz w:val="22"/>
        </w:rPr>
        <w:t>Regression commands and evidence</w:t>
      </w:r>
      <w:r>
        <w:rPr>
          <w:sz w:val="22"/>
        </w:rPr>
        <w:tab/>
        <w:t>11</w:t>
      </w:r>
    </w:p>
    <w:p>
      <w:pPr>
        <w:spacing w:after="0" w:line="240" w:lineRule="auto"/>
        <w:tabs>
          <w:tab w:val="right" w:leader="dot" w:pos="9360"/>
        </w:tabs>
      </w:pPr>
      <w:r>
        <w:rPr>
          <w:sz w:val="22"/>
        </w:rPr>
        <w:t>Rebuild and inspect these manuals</w:t>
      </w:r>
      <w:r>
        <w:rPr>
          <w:sz w:val="22"/>
        </w:rPr>
        <w:tab/>
        <w:t>11</w:t>
      </w:r>
    </w:p>
    <w:p>
      <w:pPr>
        <w:spacing w:after="0" w:line="240" w:lineRule="auto"/>
        <w:tabs>
          <w:tab w:val="right" w:leader="dot" w:pos="9360"/>
        </w:tabs>
      </w:pPr>
      <w:r>
        <w:rPr>
          <w:sz w:val="22"/>
        </w:rPr>
        <w:t>Business glossary implementation and checks</w:t>
      </w:r>
      <w:r>
        <w:rPr>
          <w:sz w:val="22"/>
        </w:rPr>
        <w:tab/>
        <w:t>12</w:t>
      </w:r>
    </w:p>
    <w:p>
      <w:pPr>
        <w:spacing w:after="0" w:line="240" w:lineRule="auto"/>
        <w:tabs>
          <w:tab w:val="right" w:leader="dot" w:pos="9360"/>
        </w:tabs>
      </w:pPr>
      <w:r>
        <w:rPr>
          <w:sz w:val="22"/>
        </w:rPr>
        <w:t>Offline translation and localized publication</w:t>
      </w:r>
      <w:r>
        <w:rPr>
          <w:sz w:val="22"/>
        </w:rPr>
        <w:tab/>
        <w:t>12</w:t>
      </w:r>
    </w:p>
    <w:p>
      <w:pPr>
        <w:spacing w:after="0" w:line="240" w:lineRule="auto"/>
        <w:tabs>
          <w:tab w:val="right" w:leader="dot" w:pos="9360"/>
        </w:tabs>
      </w:pPr>
      <w:r>
        <w:rPr>
          <w:sz w:val="22"/>
        </w:rPr>
        <w:t>Native validation and release evidence</w:t>
      </w:r>
      <w:r>
        <w:rPr>
          <w:sz w:val="22"/>
        </w:rPr>
        <w:tab/>
        <w:t>13</w:t>
      </w:r>
    </w:p>
    <w:p>
      <w:pPr>
        <w:spacing w:after="0" w:line="240" w:lineRule="auto"/>
        <w:tabs>
          <w:tab w:val="right" w:leader="dot" w:pos="9360"/>
        </w:tabs>
      </w:pPr>
      <w:r>
        <w:rPr>
          <w:sz w:val="22"/>
        </w:rPr>
        <w:t>Structured project profile contract</w:t>
      </w:r>
      <w:r>
        <w:rPr>
          <w:sz w:val="22"/>
        </w:rPr>
        <w:tab/>
        <w:t>13</w:t>
      </w:r>
    </w:p>
    <w:p>
      <w:pPr>
        <w:spacing w:after="0" w:line="240" w:lineRule="auto"/>
        <w:tabs>
          <w:tab w:val="right" w:leader="dot" w:pos="9360"/>
        </w:tabs>
      </w:pPr>
      <w:r>
        <w:rPr>
          <w:sz w:val="22"/>
        </w:rPr>
        <w:t>Quality analysis and revision comparison</w:t>
      </w:r>
      <w:r>
        <w:rPr>
          <w:sz w:val="22"/>
        </w:rPr>
        <w:tab/>
        <w:t>14</w:t>
      </w:r>
    </w:p>
    <w:p>
      <w:pPr>
        <w:spacing w:after="0" w:line="240" w:lineRule="auto"/>
        <w:tabs>
          <w:tab w:val="right" w:leader="dot" w:pos="9360"/>
        </w:tabs>
      </w:pPr>
      <w:r>
        <w:rPr>
          <w:sz w:val="22"/>
        </w:rPr>
        <w:t>Keyboard inspector implementation and validation</w:t>
      </w:r>
      <w:r>
        <w:rPr>
          <w:sz w:val="22"/>
        </w:rPr>
        <w:tab/>
        <w:t>14</w:t>
      </w:r>
    </w:p>
    <w:p>
      <w:pPr>
        <w:pageBreakBefore/>
        <w:spacing w:after="0" w:line="240" w:lineRule="auto"/>
        <w:tabs>
          <w:tab w:val="right" w:leader="dot" w:pos="9360"/>
        </w:tabs>
      </w:pPr>
      <w:r>
        <w:rPr>
          <w:sz w:val="22"/>
        </w:rPr>
        <w:t>Command inventory implementation and validation</w:t>
      </w:r>
      <w:r>
        <w:rPr>
          <w:sz w:val="22"/>
        </w:rPr>
        <w:tab/>
        <w:t>15</w:t>
      </w:r>
    </w:p>
    <w:p>
      <w:pPr>
        <w:spacing w:after="0" w:line="240" w:lineRule="auto"/>
        <w:tabs>
          <w:tab w:val="right" w:leader="dot" w:pos="9360"/>
        </w:tabs>
      </w:pPr>
      <w:r>
        <w:rPr>
          <w:sz w:val="22"/>
        </w:rPr>
        <w:t>Dynamic control relationships and validation</w:t>
      </w:r>
      <w:r>
        <w:rPr>
          <w:sz w:val="22"/>
        </w:rPr>
        <w:tab/>
        <w:t>15</w:t>
      </w:r>
    </w:p>
    <w:p>
      <w:pPr>
        <w:spacing w:after="0" w:line="240" w:lineRule="auto"/>
        <w:tabs>
          <w:tab w:val="right" w:leader="dot" w:pos="9360"/>
        </w:tabs>
      </w:pPr>
      <w:r>
        <w:rPr>
          <w:sz w:val="22"/>
        </w:rPr>
        <w:t>Layout rule explanations and validation</w:t>
      </w:r>
      <w:r>
        <w:rPr>
          <w:sz w:val="22"/>
        </w:rPr>
        <w:tab/>
        <w:t>15</w:t>
      </w:r>
    </w:p>
    <w:p>
      <w:pPr>
        <w:spacing w:after="0" w:line="240" w:lineRule="auto"/>
        <w:tabs>
          <w:tab w:val="right" w:leader="dot" w:pos="9360"/>
        </w:tabs>
      </w:pPr>
      <w:r>
        <w:rPr>
          <w:sz w:val="22"/>
        </w:rPr>
        <w:t>Component dependencies and attributed metadata</w:t>
      </w:r>
      <w:r>
        <w:rPr>
          <w:sz w:val="22"/>
        </w:rPr>
        <w:tab/>
        <w:t>16</w:t>
      </w:r>
    </w:p>
    <w:p>
      <w:pPr>
        <w:spacing w:after="0" w:line="240" w:lineRule="auto"/>
        <w:tabs>
          <w:tab w:val="right" w:leader="dot" w:pos="9360"/>
        </w:tabs>
      </w:pPr>
      <w:r>
        <w:rPr>
          <w:sz w:val="22"/>
        </w:rPr>
        <w:t>Resolve form inheritance and frame overlays</w:t>
      </w:r>
      <w:r>
        <w:rPr>
          <w:sz w:val="22"/>
        </w:rPr>
        <w:tab/>
        <w:t>17</w:t>
      </w:r>
    </w:p>
    <w:p>
      <w:pPr>
        <w:spacing w:after="0" w:line="240" w:lineRule="auto"/>
        <w:tabs>
          <w:tab w:val="right" w:leader="dot" w:pos="9360"/>
        </w:tabs>
      </w:pPr>
      <w:r>
        <w:rPr>
          <w:sz w:val="22"/>
        </w:rPr>
        <w:t>Store attributed action purpose mappings</w:t>
      </w:r>
      <w:r>
        <w:rPr>
          <w:sz w:val="22"/>
        </w:rPr>
        <w:tab/>
        <w:t>17</w:t>
      </w:r>
    </w:p>
    <w:p>
      <w:pPr>
        <w:spacing w:after="0" w:line="240" w:lineRule="auto"/>
        <w:tabs>
          <w:tab w:val="right" w:leader="dot" w:pos="9360"/>
        </w:tabs>
      </w:pPr>
      <w:r>
        <w:rPr>
          <w:sz w:val="22"/>
        </w:rPr>
        <w:t>Compare attributed screen evidence and captured layouts</w:t>
      </w:r>
      <w:r>
        <w:rPr>
          <w:sz w:val="22"/>
        </w:rPr>
        <w:tab/>
        <w:t>18</w:t>
      </w:r>
    </w:p>
    <w:p>
      <w:pPr>
        <w:spacing w:after="0" w:line="240" w:lineRule="auto"/>
        <w:tabs>
          <w:tab w:val="right" w:leader="dot" w:pos="9360"/>
        </w:tabs>
      </w:pPr>
      <w:r>
        <w:rPr>
          <w:sz w:val="22"/>
        </w:rPr>
        <w:t>Build a safe captured database connection inventory</w:t>
      </w:r>
      <w:r>
        <w:rPr>
          <w:sz w:val="22"/>
        </w:rPr>
        <w:tab/>
        <w:t>18</w:t>
      </w:r>
    </w:p>
    <w:p>
      <w:pPr>
        <w:spacing w:after="0" w:line="240" w:lineRule="auto"/>
        <w:tabs>
          <w:tab w:val="right" w:leader="dot" w:pos="9360"/>
        </w:tabs>
      </w:pPr>
      <w:r>
        <w:rPr>
          <w:sz w:val="22"/>
        </w:rPr>
        <w:t>Derive captured database engine and version evidence</w:t>
      </w:r>
      <w:r>
        <w:rPr>
          <w:sz w:val="22"/>
        </w:rPr>
        <w:tab/>
        <w:t>19</w:t>
      </w:r>
    </w:p>
    <w:p>
      <w:pPr>
        <w:spacing w:after="0" w:line="240" w:lineRule="auto"/>
        <w:tabs>
          <w:tab w:val="right" w:leader="dot" w:pos="9360"/>
        </w:tabs>
      </w:pPr>
      <w:r>
        <w:rPr>
          <w:sz w:val="22"/>
        </w:rPr>
        <w:t>Inspect captured database schema evidence</w:t>
      </w:r>
      <w:r>
        <w:rPr>
          <w:sz w:val="22"/>
        </w:rPr>
        <w:tab/>
        <w:t>20</w:t>
      </w:r>
    </w:p>
    <w:p>
      <w:pPr>
        <w:spacing w:after="0" w:line="240" w:lineRule="auto"/>
        <w:tabs>
          <w:tab w:val="right" w:leader="dot" w:pos="9360"/>
        </w:tabs>
      </w:pPr>
      <w:r>
        <w:rPr>
          <w:sz w:val="22"/>
        </w:rPr>
        <w:t>Extract captured column declarations and constraint text</w:t>
      </w:r>
      <w:r>
        <w:rPr>
          <w:sz w:val="22"/>
        </w:rPr>
        <w:tab/>
        <w:t>20</w:t>
      </w:r>
    </w:p>
    <w:p>
      <w:pPr>
        <w:spacing w:after="0" w:line="240" w:lineRule="auto"/>
        <w:tabs>
          <w:tab w:val="right" w:leader="dot" w:pos="9360"/>
        </w:tabs>
      </w:pPr>
      <w:r>
        <w:rPr>
          <w:sz w:val="22"/>
        </w:rPr>
        <w:t>Resolve captured key membership and references</w:t>
      </w:r>
      <w:r>
        <w:rPr>
          <w:sz w:val="22"/>
        </w:rPr>
        <w:tab/>
        <w:t>21</w:t>
      </w:r>
    </w:p>
    <w:p>
      <w:pPr>
        <w:spacing w:after="0" w:line="240" w:lineRule="auto"/>
        <w:tabs>
          <w:tab w:val="right" w:leader="dot" w:pos="9360"/>
        </w:tabs>
      </w:pPr>
      <w:r>
        <w:rPr>
          <w:sz w:val="22"/>
        </w:rPr>
        <w:t>Capture index structures and SQL reference evidence</w:t>
      </w:r>
      <w:r>
        <w:rPr>
          <w:sz w:val="22"/>
        </w:rPr>
        <w:tab/>
        <w:t>22</w:t>
      </w:r>
    </w:p>
    <w:p>
      <w:pPr>
        <w:spacing w:after="0" w:line="240" w:lineRule="auto"/>
        <w:tabs>
          <w:tab w:val="right" w:leader="dot" w:pos="9360"/>
        </w:tabs>
      </w:pPr>
      <w:r>
        <w:rPr>
          <w:sz w:val="22"/>
        </w:rPr>
        <w:t>Capture stored-object definitions and dependencies</w:t>
      </w:r>
      <w:r>
        <w:rPr>
          <w:sz w:val="22"/>
        </w:rPr>
        <w:tab/>
        <w:t>23</w:t>
      </w:r>
    </w:p>
    <w:p>
      <w:pPr>
        <w:spacing w:after="0" w:line="240" w:lineRule="auto"/>
        <w:tabs>
          <w:tab w:val="right" w:leader="dot" w:pos="9360"/>
        </w:tabs>
      </w:pPr>
      <w:r>
        <w:rPr>
          <w:sz w:val="22"/>
        </w:rPr>
        <w:t>Project captured entity relationship metadata</w:t>
      </w:r>
      <w:r>
        <w:rPr>
          <w:sz w:val="22"/>
        </w:rPr>
        <w:tab/>
        <w:t>24</w:t>
      </w:r>
    </w:p>
    <w:p>
      <w:pPr>
        <w:spacing w:after="0" w:line="240" w:lineRule="auto"/>
        <w:tabs>
          <w:tab w:val="right" w:leader="dot" w:pos="9360"/>
        </w:tabs>
      </w:pPr>
      <w:r>
        <w:rPr>
          <w:sz w:val="22"/>
        </w:rPr>
        <w:t>Maintain attributed schema dictionaries</w:t>
      </w:r>
      <w:r>
        <w:rPr>
          <w:sz w:val="22"/>
        </w:rPr>
        <w:tab/>
        <w:t>25</w:t>
      </w:r>
    </w:p>
    <w:p>
      <w:pPr>
        <w:spacing w:after="0" w:line="240" w:lineRule="auto"/>
        <w:tabs>
          <w:tab w:val="right" w:leader="dot" w:pos="9360"/>
        </w:tabs>
      </w:pPr>
      <w:r>
        <w:rPr>
          <w:sz w:val="22"/>
        </w:rPr>
        <w:t>Resolve captured dataset and field bindings</w:t>
      </w:r>
      <w:r>
        <w:rPr>
          <w:sz w:val="22"/>
        </w:rPr>
        <w:tab/>
        <w:t>26</w:t>
      </w:r>
    </w:p>
    <w:p>
      <w:pPr>
        <w:spacing w:after="0" w:line="240" w:lineRule="auto"/>
        <w:tabs>
          <w:tab w:val="right" w:leader="dot" w:pos="9360"/>
        </w:tabs>
      </w:pPr>
      <w:r>
        <w:rPr>
          <w:sz w:val="22"/>
        </w:rPr>
        <w:t>Recognize captured database operation requests</w:t>
      </w:r>
      <w:r>
        <w:rPr>
          <w:sz w:val="22"/>
        </w:rPr>
        <w:tab/>
        <w:t>27</w:t>
      </w:r>
    </w:p>
    <w:p>
      <w:pPr>
        <w:spacing w:after="0" w:line="240" w:lineRule="auto"/>
        <w:tabs>
          <w:tab w:val="right" w:leader="dot" w:pos="9360"/>
        </w:tabs>
      </w:pPr>
      <w:r>
        <w:rPr>
          <w:sz w:val="22"/>
        </w:rPr>
        <w:t>Trace captured transaction boundaries</w:t>
      </w:r>
      <w:r>
        <w:rPr>
          <w:sz w:val="22"/>
        </w:rPr>
        <w:tab/>
        <w:t>27</w:t>
      </w:r>
    </w:p>
    <w:p>
      <w:pPr>
        <w:spacing w:after="0" w:line="240" w:lineRule="auto"/>
        <w:tabs>
          <w:tab w:val="right" w:leader="dot" w:pos="9360"/>
        </w:tabs>
      </w:pPr>
      <w:r>
        <w:rPr>
          <w:sz w:val="22"/>
        </w:rPr>
        <w:t>Capture field validation and transformation evidence</w:t>
      </w:r>
      <w:r>
        <w:rPr>
          <w:sz w:val="22"/>
        </w:rPr>
        <w:tab/>
        <w:t>28</w:t>
      </w:r>
    </w:p>
    <w:p>
      <w:pPr>
        <w:spacing w:after="0" w:line="240" w:lineRule="auto"/>
        <w:tabs>
          <w:tab w:val="right" w:leader="dot" w:pos="9360"/>
        </w:tabs>
      </w:pPr>
      <w:r>
        <w:rPr>
          <w:sz w:val="22"/>
        </w:rPr>
        <w:t>Connect source evidence into scoped lineage</w:t>
      </w:r>
      <w:r>
        <w:rPr>
          <w:sz w:val="22"/>
        </w:rPr>
        <w:tab/>
        <w:t>28</w:t>
      </w:r>
    </w:p>
    <w:p>
      <w:pPr>
        <w:spacing w:after="0" w:line="240" w:lineRule="auto"/>
        <w:tabs>
          <w:tab w:val="right" w:leader="dot" w:pos="9360"/>
        </w:tabs>
      </w:pPr>
      <w:r>
        <w:rPr>
          <w:sz w:val="22"/>
        </w:rPr>
        <w:t>Project captured migration and version evidence</w:t>
      </w:r>
      <w:r>
        <w:rPr>
          <w:sz w:val="22"/>
        </w:rPr>
        <w:tab/>
        <w:t>29</w:t>
      </w:r>
    </w:p>
    <w:p>
      <w:pPr>
        <w:spacing w:after="0" w:line="240" w:lineRule="auto"/>
        <w:tabs>
          <w:tab w:val="right" w:leader="dot" w:pos="9360"/>
        </w:tabs>
      </w:pPr>
      <w:r>
        <w:rPr>
          <w:sz w:val="22"/>
        </w:rPr>
        <w:t>Project captured file formats and contracts</w:t>
      </w:r>
      <w:r>
        <w:rPr>
          <w:sz w:val="22"/>
        </w:rPr>
        <w:tab/>
        <w:t>30</w:t>
      </w:r>
    </w:p>
    <w:p>
      <w:pPr>
        <w:spacing w:after="0" w:line="240" w:lineRule="auto"/>
        <w:tabs>
          <w:tab w:val="right" w:leader="dot" w:pos="9360"/>
        </w:tabs>
      </w:pPr>
      <w:r>
        <w:rPr>
          <w:sz w:val="22"/>
        </w:rPr>
        <w:t>Maintain attributed target retention requirements</w:t>
      </w:r>
      <w:r>
        <w:rPr>
          <w:sz w:val="22"/>
        </w:rPr>
        <w:tab/>
        <w:t>30</w:t>
      </w:r>
    </w:p>
    <w:p>
      <w:pPr>
        <w:spacing w:after="0" w:line="240" w:lineRule="auto"/>
        <w:tabs>
          <w:tab w:val="right" w:leader="dot" w:pos="9360"/>
        </w:tabs>
      </w:pPr>
      <w:r>
        <w:rPr>
          <w:sz w:val="22"/>
        </w:rPr>
        <w:t>Source and revision evidence</w:t>
      </w:r>
      <w:r>
        <w:rPr>
          <w:sz w:val="22"/>
        </w:rPr>
        <w:tab/>
        <w:t>31</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DPH-WP2-6,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DPH-WP3-15.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DPH-WP2-6 and DPH-WP3-15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DPH-WP3-15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Recognize captured database operation requests</w:t>
      </w:r>
    </w:p>
    <w:p>
      <w:r>
        <w:t>TDPHSemanticAnalyzer.RoutineFacts emits database_operation relations for recognized methods on declared framework datasets or captured descendants. Receiver resolution and imported framework identity are checked; a local class shadowing TFDQuery and ordinary Delete methods are excluded. Captured inheritance is bounded to 32 steps. Within-with calls, factories, aliases, indexed receivers, unsupported providers and runtime dispatch remain unproved. DPHSemanticVersion DPH-WP3-15 invalidates older semantic caches.</w:t>
      </w:r>
    </w:p>
    <w:p>
      <w:r>
        <w:t>TDPHDatabaseConnections.AppendOperations projects API calls, static_sql and dynamic_sql relations into existing database inventory rows. It preserves generation, condition, source SHA256 and line/byte range. Semantic component_field relationships connect operation receivers to serialized components by exact source location; ambiguous locations never choose an arbitrary target. Recognized custom dataset declarations receive their own navigable receiver row. SQL literal values are omitted. Single lexical CRUD families can be retained for complex SQL without inventing table or column bindings; dynamic or mixed batches remain unknown.</w:t>
      </w:r>
    </w:p>
    <w:p>
      <w:r>
        <w:t>Effects distinguish record-buffer preparation, posting, cached-update application, deletion requests, SQL configuration and execution requests. Engine evidence follows captured receiver references. The database operation kind filter and Source button are serialized in DPH.UI.Main.fmx. Existing pagination, reverse references and source hash guards are reused. No helper unit, runtime control, storage migration, target execution or driver loading is introduced.</w:t>
      </w:r>
    </w:p>
    <w:p>
      <w:r>
        <w:t>Run tools/build-database-operations.cmd elevated for 232 checks using the actual analyzer, persisted/reopened SQLite workspace and native FMX form. Fixtures cover CRUD requests, local/custom datasets, framework-name shadowing, SQL joins and mixed/dynamic SQL, operation effects, exact receiver/source identity, redaction, reverse navigation, detached-source refusal, compact layout and unchanged source/catalog. Binding regression passes 92, engine regression 66 and semantic regression 134 checks. tools/build-wp0.cmd builds the real application and verifies its FMX resource. Fixtures stay in fixed ignored bin/database-operations-validation.</w:t>
      </w:r>
    </w:p>
    <w:p>
      <w:pPr>
        <w:pStyle w:val="Heading1"/>
      </w:pPr>
      <w:r>
        <w:t>Trace captured transaction boundaries</w:t>
      </w:r>
    </w:p>
    <w:p>
      <w:r>
        <w:t>DPHSemanticVersion DPH-WP3-15 invalidates older captures. RoutineFacts emits database_transaction relations for recognized FireDAC, ADO, dbExpress, BDE and IBX transaction APIs on declared imported framework types or captured descendants. IsDatabaseType shares the existing bounded ancestry and framework-name shadow checks with dataset operation recognition. The API list is provider-specific; ordinary methods and local classes sharing framework names are excluded. Parameter values and savepoint names do not enter the inventory. No target class, SQL or server is loaded or executed.</w:t>
      </w:r>
    </w:p>
    <w:p>
      <w:r>
        <w:t>AttachTransactionPaths projects existing captured flow_nodes and flow_edges without evaluating expressions. Each boundary maps to the smallest containing statement range in the same routine and source. Separate finalizer copies retain their different pending transfers. Bounded traversal stops at the next boundary on the same declared semantic receiver or a normal/exception exit. Exception and conditional/loop flags stay separate. Multiple transaction calls in one expression receive no invented ordering. Receiver aliases and interprocedural transactions remain unproved.</w:t>
      </w:r>
    </w:p>
    <w:p>
      <w:r>
        <w:t>Indexes group nodes by routine, outgoing edges by node and transaction boundaries by their statement. Limits are 10000 candidate CFG nodes per routine, 5000 states and 64 routes per boundary, and 1000000 states per inventory. Missing or bounded flow remains explicit. Routes expose node IDs and traversed edge-kind sets for comparison with the underlying CFG; they are not execution traces or path-feasibility proofs. Existing reference navigation links receivers, next boundaries and their reverse references. Controls remain serialized and IDE editable in DPH.UI.Main.fmx.</w:t>
      </w:r>
    </w:p>
    <w:p>
      <w:r>
        <w:t>Calls immediately after try, except and finally now retain their no-parentheses statement-call recognition. Run tools/build-database-transactions.cmd elevated for 402 checks using actual analysis, persisted/reopened SQLite and native FMX controls. Fixtures cover normal/error commit and rollback paths, finalizers, conditional alternatives, missing boundaries, distinct receivers, retaining/savepoint variants, five framework families, captured descendants, local name shadows, unordered expressions, absent CFG, redaction, native navigation, compact layout and unchanged source/catalog. Regression suites cover 232 operation, 92 binding, 66 engine and 134 semantic checks. tools/build-wp0.cmd builds the actual application and checks the FMX resource. Tests reuse fixed ignored bin/database-transactions-validation.</w:t>
      </w:r>
    </w:p>
    <w:p>
      <w:pPr>
        <w:pStyle w:val="Heading1"/>
      </w:pPr>
      <w:r>
        <w:t>Capture field validation and transformation evidence</w:t>
      </w:r>
    </w:p>
    <w:p>
      <w:r>
        <w:t>DPH-WP2-6 recognizes serialized BeforePost, BeforeInsert, BeforeEdit, BeforeDelete, BeforeCancel and BeforeOpen as event bindings in both text and binary forms. Existing own-form method resolution supplies handler relations; DPH-WP3-15 invalidates older semantic captures. Existing On-prefixed events retain their previous behavior. Missing or ambiguous method targets remain unresolved.</w:t>
      </w:r>
    </w:p>
    <w:p>
      <w:r>
        <w:t>AppendDataRules in DPH.Workspace.DatabaseConnections indexes captured symbols, event bindings and routine CFG nodes. It projects persistent-field constraints, recognized field/dataset/input hooks and bounded handler statements. A transformation requires two direct expressions in the matching Pascal statement IR, rather than a semicolon heuristic. Conditions, raises and early exits remain distinct. Repeated finally copies are deduplicated by source location and context. Statement input/output links use captured lexical reads/writes within expression ranges, not reaching-definition or runtime-value claims. Literal strings, comments and character codes are omitted; supported custom/default expressions retain their structure without evaluation.</w:t>
      </w:r>
    </w:p>
    <w:p>
      <w:r>
        <w:t>The combined inventory is bounded to 10000 rows; truncation is explicit in the model and native status. Source, SHA256, generation, context, handler, input/output and reverse references retain exact captured identity. Native data rule and rule declaration filters are serialized in the FMX resource. No new UI controls, helper unit, migration, target instance, driver or server execution is introduced. tools/build-data-rules.cmd checks real parser output, persisted/reopened captures, constraints, predicates, transformation inputs/outputs, missing handlers/syntax, semicolons in call literals, redaction, inventory limits, native navigation and normal/compact layouts. Explicit directions are in docs/guides/Data_Rules_Run_and_Test.txt.</w:t>
      </w:r>
    </w:p>
    <w:p>
      <w:pPr>
        <w:pStyle w:val="Heading1"/>
      </w:pPr>
      <w:r>
        <w:t>Connect source evidence into scoped lineage</w:t>
      </w:r>
    </w:p>
    <w:p>
      <w:r>
        <w:t>TDPHDatabaseConnections.Lineage projects the captured workspace and database inventory without modifying either. Exact component_field source locations map semantic receivers to serialized inventory identity only when unique. Existing rule declarations retain their identity. Directed derives_from relations connect input candidates to dependent declarations and file output artifacts. Lexical rule inputs and outputs connect through the captured rule. Serialized bindings, handler context, reads/writes, rendering requests and database operation routines remain labeled context rather than reaching-definition evidence.</w:t>
      </w:r>
    </w:p>
    <w:p>
      <w:r>
        <w:t>The projection indexes at most 50000 symbols and 100000 deduplicated edges, then performs bounded adjacency traversal. Each returned node retains its parent hop, kind, source, SHA256 and capture generation. Edges retain original range, source hash, condition, category and qualification. Both direction traversal includes context; Inputs and Destinations exclude broad procedure context and respect dependency direction. Cycles are deduplicated. Returned limits are 200 nodes, 800 edges and 12 hops. Missing targets, missing dataset declarations, unresolved handlers, scoped connection boundaries and limits remain explicit. Runtime values, aliases, server effects and final success remain unverified.</w:t>
      </w:r>
    </w:p>
    <w:p>
      <w:r>
        <w:t>ResolveFields now treats any captured data-source chain without a dataset target as incomplete, including the case where another source chain resolves. It no longer invents a persistent-field target from the remaining valid branch. Existing exact-role and ambiguity checks remain in force. No analyzer version or schema migration is needed because lineage projects existing captures; older captures without a recognized event or relation still require Full reassessment.</w:t>
      </w:r>
    </w:p>
    <w:p>
      <w:r>
        <w:t>The direction selector, Trace lineage and Lineage diagram buttons and Data lineage graph choice are serialized in DPH.UI.Main.fmx. Main form navigation reuses the inventory and explanation pages; graph grouping is disabled for lineage. GraphHTML renders the same evidence JSON with selectable nodes and unresolved breaks. Existing browser allowlisting and source hash guards remain in force. Tests use actual parsing, persisted and reopened SQLite captures, directional assignment chains, cyclic assignments, controlled file-writer evidence, redaction, incomplete bindings, trace limits and native FMX navigation/layout. No selected target, SQL, driver or production server is executed. Build with tools/build-data-lineage.cmd.</w:t>
      </w:r>
    </w:p>
    <w:p>
      <w:pPr>
        <w:pStyle w:val="Heading1"/>
      </w:pPr>
      <w:r>
        <w:t>Project captured migration and version evidence</w:t>
      </w:r>
    </w:p>
    <w:p>
      <w:r>
        <w:t>TDPHDatabaseSchema.Inspect appends migration evidence after ordinary schema identities and links are resolved. Existing schema IDs remain stable. Each captured readable SQL resource becomes a migration candidate; unavailable literal SQL loader targets become migration gaps citing the Pascal loader range and fingerprint. The existing bounded project inventory discovers referenced files only. No unrelated directory scan, migration runner, target database or target application executes.</w:t>
      </w:r>
    </w:p>
    <w:p>
      <w:r>
        <w:t>Leading numeric filenames are order candidates scoped to the captured source directory. Leading zeros normalize only for conflict detection; original filename digits remain visible. Captured loader configures relationships retain their source, line, fingerprint and enumeration label. Neither filename nor lexical-loader order becomes deployment precedence. Schema evidence links retain exact row IDs and are limited to 250 per script, with total and omission counts.</w:t>
      </w:r>
    </w:p>
    <w:p>
      <w:r>
        <w:t>The existing SQL lexer separates comments and literal contents. Supported top-level PRAGMA user_version assignments capture nonnegative 32-bit integer values through equals or parentheses and preserve explicit schema qualifiers. Queries, engine schema_version counters, unsupported expressions, nested procedure blocks and comments cannot become application-version assignments. Multiple assignments remain ordered evidence rather than a selected final version. SQLite reference: https://www.sqlite.org/pragma.html#pragma_user_version. Supported verification request spelling captures integrity_check, quick_check and foreign_key_check without execution or invented results.</w:t>
      </w:r>
    </w:p>
    <w:p>
      <w:r>
        <w:t>Existing SQL bounds are 2 MiB characters, 100000 tokens and 10000 combined schema rows. Migration detail bounds are 250 displayed version assignments, 8000 characters of verification requests and 1000 loader entries, with explicit truncation. IDE-editable kind/state selectors, paging, evidence memo, source guards and relationship navigation are reused. The focused tools/build-schema-history.cmd suite exercises actual parsing, persisted reopening, numeric-prefix conflicts, missing sources, version/counter distinctions, nested blocks, redaction, limits, native filters and navigation. Shared schema, ER, stored-object and lineage regressions verify the same projection remains compatible.</w:t>
      </w:r>
    </w:p>
    <w:p>
      <w:pPr>
        <w:pStyle w:val="Heading1"/>
      </w:pPr>
      <w:r>
        <w:t>Project captured file formats and contracts</w:t>
      </w:r>
    </w:p>
    <w:p>
      <w:r>
        <w:t>TDPHWorkspaceView.FileFormats projects existing IR and semantic captures without a schema or analyzer change. Supported captured JSON, XML and INI resources show member shapes while omitting scalar values. Member names are bounded and unsafe names are omitted. Each resource shows at most 250 members and an explicit total/limit. The combined inventory is capped at 10000 rows with visible truncation.</w:t>
      </w:r>
    </w:p>
    <w:p>
      <w:r>
        <w:t>Outer expression tokens identify dotted ReadAllText/Bytes/Lines, WriteAllText/Bytes/Lines, LoadFromFile and SaveToFile spellings. Quoted strings remain single tokens and comments do not become APIs. A supported literal first argument contributes only a safe filename extension. Explicit TEncoding argument spellings remain candidates; byte APIs remain binary candidates. Enclosing captured routine identity provides a producer or consumer link. Evidence retains source hash, generation and enclosing expression range; custom receivers and runtime dispatch are unverified.</w:t>
      </w:r>
    </w:p>
    <w:p>
      <w:r>
        <w:t>DPH.UI.Main and its serialized FMX resource provide kind/text filters, 250-row paging, labeled evidence, guarded source opening, routine explanation and contract drafts. No runtime controls, helper unit or target execution is introduced. Deterministic contract titles include the exact row and source hash. Existing attributed Knowledge storage supplies immutable revision history and separate review. A contract draft includes encoding/BOM, schema and required fields, producer/consumer mappings, validation, compatibility, verification and remaining unknowns.</w:t>
      </w:r>
    </w:p>
    <w:p>
      <w:r>
        <w:t>Run tools/build-file-formats.cmd elevated for the focused actual-parser, persistence and native FMX checks. It uses fixed ignored bin/file-formats-validation fixtures and verifies redaction, routine identity, explicit encoding candidates, resource/transfer distinctions, large shapes, paging, saved contracts, source-change and detached-source refusal, compact layout and unchanged captured source/catalog. Shared schema-history, lineage, Knowledge and publishing regressions and tools/build-wp0.cmd validate integration. Candidate evidence and authored contracts do not establish a formal schema, runtime transfer success or deployed compatibility.</w:t>
      </w:r>
    </w:p>
    <w:p>
      <w:pPr>
        <w:pStyle w:val="Heading1"/>
      </w:pPr>
      <w:r>
        <w:t>Maintain attributed target retention requirements</w:t>
      </w:r>
    </w:p>
    <w:p>
      <w:r>
        <w:t>Requirement 05.18 is an attributed manual-capture workflow. TDPHWorkspaceView provides the target-policy template, typed-record recognition, metadata validation and readable evidence. Native DataRetention controls in DPH.UI.Main.fmx provide state/text filtering, bounded 250-row pages, labeled scrollable details, draft preparation and existing Knowledge/link navigation. Controls remain editable in the IDE. No helper unit, analyzer pass or storage migration is introduced.</w:t>
      </w:r>
    </w:p>
    <w:p>
      <w:r>
        <w:t>Structured metadata contains record_type data_retention and a stable GUID policy_id. The existing attributed body remains editable; identity and kind stay protected. TDPHKnowledgeStore.SaveKnowledge validates metadata, rejects the default title, anonymous authors, removed heading, wrong business-rule/maintenance/maintainer scope, duplicate identities, identity changes and discarded structured metadata. Existing optimistic revisions, named review, immutable history and exact rich links remain authoritative. Unknown fields are deliberately permitted and visibly unresolved; policy prose is human evidence, not an inferred legal rule.</w:t>
      </w:r>
    </w:p>
    <w:p>
      <w:r>
        <w:t>The register distinguishes original contributor from current revision editor and shows the named reviewer and explicit link count. Existing Knowledge links support captured semantic routines, evidence and exact procedure-section revisions. Publication includes these requirements and typed identities in maintenance/all-reader handoffs through existing audience and redaction rules. No source application, SQL, deletion or archive job executes. DPH snapshot controls are distinct from the selected application's retention requirements.</w:t>
      </w:r>
    </w:p>
    <w:p>
      <w:r>
        <w:t>Run tools/build-data-retention.cmd elevated. The focused suite uses a real parsed controlled Retention.dpr capture, persisted attributed policies, metadata rejection cases, immutable review/edit history, routine and procedure links, canonical/HTML export and complete bundle validation, native paging/filtering, draft guards and compact rendering. Knowledge, publishing and file-format regressions and tools/build-wp0.cmd cover shared paths. Controlled outputs remain under ignored bin/data-retention-validation; no owner project source or catalog is modified.</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323e07e2255dc9c0780c42aaab2fea8cfdb03143a82eb1ec628eb9f8b8d0312e</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95803c5ffa1cb7cb42a619ac78bb8cc74766ddda1be32a448b14b2d5e4963c46</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e53b536fb48bc324aff44773dc77e56dfd79298323d294f938586e729e50dc79</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ec537909d3115a294a09d0bf2efc4b2af06e75d806aff2edfb07da72c95b89c6</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