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12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pPr>
        <w:spacing w:before="0" w:after="0" w:line="20" w:lineRule="exact"/>
      </w:pPr>
      <w:r>
        <w:rPr>
          <w:sz w:val="2"/>
        </w:rPr>
        <w:fldChar w:fldCharType="begin"/>
        <w:instrText xml:space="preserve"> TOC \o "1-1" \h \z \u </w:instrText>
      </w:r>
    </w:p>
    <w:p>
      <w:pPr>
        <w:spacing w:before="0" w:after="0" w:line="20" w:lineRule="exact"/>
      </w:pPr>
      <w:r>
        <w:rPr>
          <w:sz w:val="2"/>
        </w:rPr>
        <w:fldChar w:fldCharType="separate"/>
      </w:r>
    </w:p>
    <w:p>
      <w:pPr>
        <w:spacing w:after="0" w:line="240" w:lineRule="auto"/>
        <w:tabs>
          <w:tab w:val="right" w:leader="dot" w:pos="9360"/>
        </w:tabs>
      </w:pPr>
      <w:r>
        <w:rPr>
          <w:sz w:val="22"/>
        </w:rPr>
        <w:t>Purpose and evidence</w:t>
      </w:r>
      <w:r>
        <w:rPr>
          <w:sz w:val="22"/>
        </w:rPr>
        <w:tab/>
        <w:t>4</w:t>
      </w:r>
    </w:p>
    <w:p>
      <w:pPr>
        <w:spacing w:after="0" w:line="240" w:lineRule="auto"/>
        <w:tabs>
          <w:tab w:val="right" w:leader="dot" w:pos="9360"/>
        </w:tabs>
      </w:pPr>
      <w:r>
        <w:rPr>
          <w:sz w:val="22"/>
        </w:rPr>
        <w:t>Start DPH</w:t>
      </w:r>
      <w:r>
        <w:rPr>
          <w:sz w:val="22"/>
        </w:rPr>
        <w:tab/>
        <w:t>4</w:t>
      </w:r>
    </w:p>
    <w:p>
      <w:pPr>
        <w:spacing w:after="0" w:line="240" w:lineRule="auto"/>
        <w:tabs>
          <w:tab w:val="right" w:leader="dot" w:pos="9360"/>
        </w:tabs>
      </w:pPr>
      <w:r>
        <w:rPr>
          <w:sz w:val="22"/>
        </w:rPr>
        <w:t>Run the application and its checks</w:t>
      </w:r>
      <w:r>
        <w:rPr>
          <w:sz w:val="22"/>
        </w:rPr>
        <w:tab/>
        <w:t>4</w:t>
      </w:r>
    </w:p>
    <w:p>
      <w:pPr>
        <w:spacing w:after="0" w:line="240" w:lineRule="auto"/>
        <w:tabs>
          <w:tab w:val="right" w:leader="dot" w:pos="9360"/>
        </w:tabs>
      </w:pPr>
      <w:r>
        <w:rPr>
          <w:sz w:val="22"/>
        </w:rPr>
        <w:t>Attach a source project</w:t>
      </w:r>
      <w:r>
        <w:rPr>
          <w:sz w:val="22"/>
        </w:rPr>
        <w:tab/>
        <w:t>5</w:t>
      </w:r>
    </w:p>
    <w:p>
      <w:pPr>
        <w:spacing w:after="0" w:line="240" w:lineRule="auto"/>
        <w:tabs>
          <w:tab w:val="right" w:leader="dot" w:pos="9360"/>
        </w:tabs>
      </w:pPr>
      <w:r>
        <w:rPr>
          <w:sz w:val="22"/>
        </w:rPr>
        <w:t>Open cached work</w:t>
      </w:r>
      <w:r>
        <w:rPr>
          <w:sz w:val="22"/>
        </w:rPr>
        <w:tab/>
        <w:t>5</w:t>
      </w:r>
    </w:p>
    <w:p>
      <w:pPr>
        <w:spacing w:after="0" w:line="240" w:lineRule="auto"/>
        <w:tabs>
          <w:tab w:val="right" w:leader="dot" w:pos="9360"/>
        </w:tabs>
      </w:pPr>
      <w:r>
        <w:rPr>
          <w:sz w:val="22"/>
        </w:rPr>
        <w:t>Manage the project catalog</w:t>
      </w:r>
      <w:r>
        <w:rPr>
          <w:sz w:val="22"/>
        </w:rPr>
        <w:tab/>
        <w:t>6</w:t>
      </w:r>
    </w:p>
    <w:p>
      <w:pPr>
        <w:spacing w:after="0" w:line="240" w:lineRule="auto"/>
        <w:tabs>
          <w:tab w:val="right" w:leader="dot" w:pos="9360"/>
        </w:tabs>
      </w:pPr>
      <w:r>
        <w:rPr>
          <w:sz w:val="22"/>
        </w:rPr>
        <w:t>Record the selected application profile</w:t>
      </w:r>
      <w:r>
        <w:rPr>
          <w:sz w:val="22"/>
        </w:rPr>
        <w:tab/>
        <w:t>6</w:t>
      </w:r>
    </w:p>
    <w:p>
      <w:pPr>
        <w:spacing w:after="0" w:line="240" w:lineRule="auto"/>
        <w:tabs>
          <w:tab w:val="right" w:leader="dot" w:pos="9360"/>
        </w:tabs>
      </w:pPr>
      <w:r>
        <w:rPr>
          <w:sz w:val="22"/>
        </w:rPr>
        <w:t>Define and review business terms</w:t>
      </w:r>
      <w:r>
        <w:rPr>
          <w:sz w:val="22"/>
        </w:rPr>
        <w:tab/>
        <w:t>6</w:t>
      </w:r>
    </w:p>
    <w:p>
      <w:pPr>
        <w:spacing w:after="0" w:line="240" w:lineRule="auto"/>
        <w:tabs>
          <w:tab w:val="right" w:leader="dot" w:pos="9360"/>
        </w:tabs>
      </w:pPr>
      <w:r>
        <w:rPr>
          <w:sz w:val="22"/>
        </w:rPr>
        <w:t>Learn the selected project</w:t>
      </w:r>
      <w:r>
        <w:rPr>
          <w:sz w:val="22"/>
        </w:rPr>
        <w:tab/>
        <w:t>7</w:t>
      </w:r>
    </w:p>
    <w:p>
      <w:pPr>
        <w:spacing w:after="0" w:line="240" w:lineRule="auto"/>
        <w:tabs>
          <w:tab w:val="right" w:leader="dot" w:pos="9360"/>
        </w:tabs>
      </w:pPr>
      <w:r>
        <w:rPr>
          <w:sz w:val="22"/>
        </w:rPr>
        <w:t>Measure coverage before relying on an explanation</w:t>
      </w:r>
      <w:r>
        <w:rPr>
          <w:sz w:val="22"/>
        </w:rPr>
        <w:tab/>
        <w:t>9</w:t>
      </w:r>
    </w:p>
    <w:p>
      <w:pPr>
        <w:spacing w:after="0" w:line="240" w:lineRule="auto"/>
        <w:tabs>
          <w:tab w:val="right" w:leader="dot" w:pos="9360"/>
        </w:tabs>
      </w:pPr>
      <w:r>
        <w:rPr>
          <w:sz w:val="22"/>
        </w:rPr>
        <w:t>Explore and search</w:t>
      </w:r>
      <w:r>
        <w:rPr>
          <w:sz w:val="22"/>
        </w:rPr>
        <w:tab/>
        <w:t>9</w:t>
      </w:r>
    </w:p>
    <w:p>
      <w:pPr>
        <w:spacing w:after="0" w:line="240" w:lineRule="auto"/>
        <w:tabs>
          <w:tab w:val="right" w:leader="dot" w:pos="9360"/>
        </w:tabs>
      </w:pPr>
      <w:r>
        <w:rPr>
          <w:sz w:val="22"/>
        </w:rPr>
        <w:t>Search across the captured project</w:t>
      </w:r>
      <w:r>
        <w:rPr>
          <w:sz w:val="22"/>
        </w:rPr>
        <w:tab/>
        <w:t>9</w:t>
      </w:r>
    </w:p>
    <w:p>
      <w:pPr>
        <w:spacing w:after="0" w:line="240" w:lineRule="auto"/>
        <w:tabs>
          <w:tab w:val="right" w:leader="dot" w:pos="9360"/>
        </w:tabs>
      </w:pPr>
      <w:r>
        <w:rPr>
          <w:sz w:val="22"/>
        </w:rPr>
        <w:t>Read source and graph evidence</w:t>
      </w:r>
      <w:r>
        <w:rPr>
          <w:sz w:val="22"/>
        </w:rPr>
        <w:tab/>
        <w:t>9</w:t>
      </w:r>
    </w:p>
    <w:p>
      <w:pPr>
        <w:spacing w:after="0" w:line="240" w:lineRule="auto"/>
        <w:tabs>
          <w:tab w:val="right" w:leader="dot" w:pos="9360"/>
        </w:tabs>
      </w:pPr>
      <w:r>
        <w:rPr>
          <w:sz w:val="22"/>
        </w:rPr>
        <w:t>Investigate source quality candidates</w:t>
      </w:r>
      <w:r>
        <w:rPr>
          <w:sz w:val="22"/>
        </w:rPr>
        <w:tab/>
        <w:t>10</w:t>
      </w:r>
    </w:p>
    <w:p>
      <w:pPr>
        <w:spacing w:after="0" w:line="240" w:lineRule="auto"/>
        <w:tabs>
          <w:tab w:val="right" w:leader="dot" w:pos="9360"/>
        </w:tabs>
      </w:pPr>
      <w:r>
        <w:rPr>
          <w:sz w:val="22"/>
        </w:rPr>
        <w:t>Compare captured revisions</w:t>
      </w:r>
      <w:r>
        <w:rPr>
          <w:sz w:val="22"/>
        </w:rPr>
        <w:tab/>
        <w:t>10</w:t>
      </w:r>
    </w:p>
    <w:p>
      <w:pPr>
        <w:spacing w:after="0" w:line="240" w:lineRule="auto"/>
        <w:tabs>
          <w:tab w:val="right" w:leader="dot" w:pos="9360"/>
        </w:tabs>
      </w:pPr>
      <w:r>
        <w:rPr>
          <w:sz w:val="22"/>
        </w:rPr>
        <w:t>Choose graph scope and grouping</w:t>
      </w:r>
      <w:r>
        <w:rPr>
          <w:sz w:val="22"/>
        </w:rPr>
        <w:tab/>
        <w:t>11</w:t>
      </w:r>
    </w:p>
    <w:p>
      <w:pPr>
        <w:spacing w:after="0" w:line="240" w:lineRule="auto"/>
        <w:tabs>
          <w:tab w:val="right" w:leader="dot" w:pos="9360"/>
        </w:tabs>
      </w:pPr>
      <w:r>
        <w:rPr>
          <w:sz w:val="22"/>
        </w:rPr>
        <w:t>Read a routine as a beginner</w:t>
      </w:r>
      <w:r>
        <w:rPr>
          <w:sz w:val="22"/>
        </w:rPr>
        <w:tab/>
        <w:t>11</w:t>
      </w:r>
    </w:p>
    <w:p>
      <w:pPr>
        <w:spacing w:after="0" w:line="240" w:lineRule="auto"/>
        <w:tabs>
          <w:tab w:val="right" w:leader="dot" w:pos="9360"/>
        </w:tabs>
      </w:pPr>
      <w:r>
        <w:rPr>
          <w:sz w:val="22"/>
        </w:rPr>
        <w:t>Inspect screens</w:t>
      </w:r>
      <w:r>
        <w:rPr>
          <w:sz w:val="22"/>
        </w:rPr>
        <w:tab/>
        <w:t>11</w:t>
      </w:r>
    </w:p>
    <w:p>
      <w:pPr>
        <w:spacing w:after="0" w:line="240" w:lineRule="auto"/>
        <w:tabs>
          <w:tab w:val="right" w:leader="dot" w:pos="9360"/>
        </w:tabs>
      </w:pPr>
      <w:r>
        <w:rPr>
          <w:sz w:val="22"/>
        </w:rPr>
        <w:t>Inspect keyboard shortcuts and focus order</w:t>
      </w:r>
      <w:r>
        <w:rPr>
          <w:sz w:val="22"/>
        </w:rPr>
        <w:tab/>
        <w:t>12</w:t>
      </w:r>
    </w:p>
    <w:p>
      <w:pPr>
        <w:spacing w:after="0" w:line="240" w:lineRule="auto"/>
        <w:tabs>
          <w:tab w:val="right" w:leader="dot" w:pos="9360"/>
        </w:tabs>
      </w:pPr>
      <w:r>
        <w:rPr>
          <w:sz w:val="22"/>
        </w:rPr>
        <w:t>Inspect menus context menus and toolbars</w:t>
      </w:r>
      <w:r>
        <w:rPr>
          <w:sz w:val="22"/>
        </w:rPr>
        <w:tab/>
        <w:t>12</w:t>
      </w:r>
    </w:p>
    <w:p>
      <w:pPr>
        <w:spacing w:after="0" w:line="240" w:lineRule="auto"/>
        <w:tabs>
          <w:tab w:val="right" w:leader="dot" w:pos="9360"/>
        </w:tabs>
      </w:pPr>
      <w:r>
        <w:rPr>
          <w:sz w:val="22"/>
        </w:rPr>
        <w:t>Inspect dynamic and runtime created controls</w:t>
      </w:r>
      <w:r>
        <w:rPr>
          <w:sz w:val="22"/>
        </w:rPr>
        <w:tab/>
        <w:t>13</w:t>
      </w:r>
    </w:p>
    <w:p>
      <w:pPr>
        <w:spacing w:after="0" w:line="240" w:lineRule="auto"/>
        <w:tabs>
          <w:tab w:val="right" w:leader="dot" w:pos="9360"/>
        </w:tabs>
      </w:pPr>
      <w:r>
        <w:rPr>
          <w:sz w:val="22"/>
        </w:rPr>
        <w:t>Inspect responsive layouts anchors and alignments</w:t>
      </w:r>
      <w:r>
        <w:rPr>
          <w:sz w:val="22"/>
        </w:rPr>
        <w:tab/>
        <w:t>13</w:t>
      </w:r>
    </w:p>
    <w:p>
      <w:pPr>
        <w:spacing w:after="0" w:line="240" w:lineRule="auto"/>
        <w:tabs>
          <w:tab w:val="right" w:leader="dot" w:pos="9360"/>
        </w:tabs>
      </w:pPr>
      <w:r>
        <w:rPr>
          <w:sz w:val="22"/>
        </w:rPr>
        <w:t>Inspect component dependencies and support records</w:t>
      </w:r>
      <w:r>
        <w:rPr>
          <w:sz w:val="22"/>
        </w:rPr>
        <w:tab/>
        <w:t>14</w:t>
      </w:r>
    </w:p>
    <w:p>
      <w:pPr>
        <w:spacing w:after="0" w:line="240" w:lineRule="auto"/>
        <w:tabs>
          <w:tab w:val="right" w:leader="dot" w:pos="9360"/>
        </w:tabs>
      </w:pPr>
      <w:r>
        <w:rPr>
          <w:sz w:val="22"/>
        </w:rPr>
        <w:t>Inspect inherited forms and embedded frames</w:t>
      </w:r>
      <w:r>
        <w:rPr>
          <w:sz w:val="22"/>
        </w:rPr>
        <w:tab/>
        <w:t>14</w:t>
      </w:r>
    </w:p>
    <w:p>
      <w:pPr>
        <w:spacing w:after="0" w:line="240" w:lineRule="auto"/>
        <w:tabs>
          <w:tab w:val="right" w:leader="dot" w:pos="9360"/>
        </w:tabs>
      </w:pPr>
      <w:r>
        <w:rPr>
          <w:sz w:val="22"/>
        </w:rPr>
        <w:t>Import actual screenshot evidence</w:t>
      </w:r>
      <w:r>
        <w:rPr>
          <w:sz w:val="22"/>
        </w:rPr>
        <w:tab/>
        <w:t>15</w:t>
      </w:r>
    </w:p>
    <w:p>
      <w:pPr>
        <w:spacing w:after="0" w:line="240" w:lineRule="auto"/>
        <w:tabs>
          <w:tab w:val="right" w:leader="dot" w:pos="9360"/>
        </w:tabs>
      </w:pPr>
      <w:r>
        <w:rPr>
          <w:sz w:val="22"/>
        </w:rPr>
        <w:t>Inspect database connections and datasets</w:t>
      </w:r>
      <w:r>
        <w:rPr>
          <w:sz w:val="22"/>
        </w:rPr>
        <w:tab/>
        <w:t>15</w:t>
      </w:r>
    </w:p>
    <w:p>
      <w:pPr>
        <w:spacing w:after="0" w:line="240" w:lineRule="auto"/>
        <w:tabs>
          <w:tab w:val="right" w:leader="dot" w:pos="9360"/>
        </w:tabs>
      </w:pPr>
      <w:r>
        <w:rPr>
          <w:sz w:val="22"/>
        </w:rPr>
        <w:t>Inspect database engines and versions</w:t>
      </w:r>
      <w:r>
        <w:rPr>
          <w:sz w:val="22"/>
        </w:rPr>
        <w:tab/>
        <w:t>16</w:t>
      </w:r>
    </w:p>
    <w:p>
      <w:pPr>
        <w:spacing w:after="0" w:line="240" w:lineRule="auto"/>
        <w:tabs>
          <w:tab w:val="right" w:leader="dot" w:pos="9360"/>
        </w:tabs>
      </w:pPr>
      <w:r>
        <w:rPr>
          <w:sz w:val="22"/>
        </w:rPr>
        <w:t>Inspect tables views and schemas</w:t>
      </w:r>
      <w:r>
        <w:rPr>
          <w:sz w:val="22"/>
        </w:rPr>
        <w:tab/>
        <w:t>16</w:t>
      </w:r>
    </w:p>
    <w:p>
      <w:pPr>
        <w:pageBreakBefore/>
        <w:spacing w:after="0" w:line="240" w:lineRule="auto"/>
        <w:tabs>
          <w:tab w:val="right" w:leader="dot" w:pos="9360"/>
        </w:tabs>
      </w:pPr>
      <w:r>
        <w:rPr>
          <w:sz w:val="22"/>
        </w:rPr>
        <w:t>Inspect column types defaults and constraints</w:t>
      </w:r>
      <w:r>
        <w:rPr>
          <w:sz w:val="22"/>
        </w:rPr>
        <w:tab/>
        <w:t>17</w:t>
      </w:r>
    </w:p>
    <w:p>
      <w:pPr>
        <w:spacing w:after="0" w:line="240" w:lineRule="auto"/>
        <w:tabs>
          <w:tab w:val="right" w:leader="dot" w:pos="9360"/>
        </w:tabs>
      </w:pPr>
      <w:r>
        <w:rPr>
          <w:sz w:val="22"/>
        </w:rPr>
        <w:t>Inspect primary foreign and unique keys</w:t>
      </w:r>
      <w:r>
        <w:rPr>
          <w:sz w:val="22"/>
        </w:rPr>
        <w:tab/>
        <w:t>18</w:t>
      </w:r>
    </w:p>
    <w:p>
      <w:pPr>
        <w:spacing w:after="0" w:line="240" w:lineRule="auto"/>
        <w:tabs>
          <w:tab w:val="right" w:leader="dot" w:pos="9360"/>
        </w:tabs>
      </w:pPr>
      <w:r>
        <w:rPr>
          <w:sz w:val="22"/>
        </w:rPr>
        <w:t>Inspect indexes and performance evidence</w:t>
      </w:r>
      <w:r>
        <w:rPr>
          <w:sz w:val="22"/>
        </w:rPr>
        <w:tab/>
        <w:t>18</w:t>
      </w:r>
    </w:p>
    <w:p>
      <w:pPr>
        <w:spacing w:after="0" w:line="240" w:lineRule="auto"/>
        <w:tabs>
          <w:tab w:val="right" w:leader="dot" w:pos="9360"/>
        </w:tabs>
      </w:pPr>
      <w:r>
        <w:rPr>
          <w:sz w:val="22"/>
        </w:rPr>
        <w:t>Inspect stored procedures functions and triggers</w:t>
      </w:r>
      <w:r>
        <w:rPr>
          <w:sz w:val="22"/>
        </w:rPr>
        <w:tab/>
        <w:t>19</w:t>
      </w:r>
    </w:p>
    <w:p>
      <w:pPr>
        <w:spacing w:after="0" w:line="240" w:lineRule="auto"/>
        <w:tabs>
          <w:tab w:val="right" w:leader="dot" w:pos="9360"/>
        </w:tabs>
      </w:pPr>
      <w:r>
        <w:rPr>
          <w:sz w:val="22"/>
        </w:rPr>
        <w:t>Inspect entity relationship diagrams</w:t>
      </w:r>
      <w:r>
        <w:rPr>
          <w:sz w:val="22"/>
        </w:rPr>
        <w:tab/>
        <w:t>20</w:t>
      </w:r>
    </w:p>
    <w:p>
      <w:pPr>
        <w:spacing w:after="0" w:line="240" w:lineRule="auto"/>
        <w:tabs>
          <w:tab w:val="right" w:leader="dot" w:pos="9360"/>
        </w:tabs>
      </w:pPr>
      <w:r>
        <w:rPr>
          <w:sz w:val="22"/>
        </w:rPr>
        <w:t>Define table and column business meanings</w:t>
      </w:r>
      <w:r>
        <w:rPr>
          <w:sz w:val="22"/>
        </w:rPr>
        <w:tab/>
        <w:t>21</w:t>
      </w:r>
    </w:p>
    <w:p>
      <w:pPr>
        <w:spacing w:after="0" w:line="240" w:lineRule="auto"/>
        <w:tabs>
          <w:tab w:val="right" w:leader="dot" w:pos="9360"/>
        </w:tabs>
      </w:pPr>
      <w:r>
        <w:rPr>
          <w:sz w:val="22"/>
        </w:rPr>
        <w:t>Follow dataset and screen field bindings</w:t>
      </w:r>
      <w:r>
        <w:rPr>
          <w:sz w:val="22"/>
        </w:rPr>
        <w:tab/>
        <w:t>22</w:t>
      </w:r>
    </w:p>
    <w:p>
      <w:pPr>
        <w:spacing w:after="0" w:line="240" w:lineRule="auto"/>
        <w:tabs>
          <w:tab w:val="right" w:leader="dot" w:pos="9360"/>
        </w:tabs>
      </w:pPr>
      <w:r>
        <w:rPr>
          <w:sz w:val="22"/>
        </w:rPr>
        <w:t>Inspect database read and write operations</w:t>
      </w:r>
      <w:r>
        <w:rPr>
          <w:sz w:val="22"/>
        </w:rPr>
        <w:tab/>
        <w:t>22</w:t>
      </w:r>
    </w:p>
    <w:p>
      <w:pPr>
        <w:spacing w:after="0" w:line="240" w:lineRule="auto"/>
        <w:tabs>
          <w:tab w:val="right" w:leader="dot" w:pos="9360"/>
        </w:tabs>
      </w:pPr>
      <w:r>
        <w:rPr>
          <w:sz w:val="22"/>
        </w:rPr>
        <w:t>Inspect transaction and rollback paths</w:t>
      </w:r>
      <w:r>
        <w:rPr>
          <w:sz w:val="22"/>
        </w:rPr>
        <w:tab/>
        <w:t>23</w:t>
      </w:r>
    </w:p>
    <w:p>
      <w:pPr>
        <w:spacing w:after="0" w:line="240" w:lineRule="auto"/>
        <w:tabs>
          <w:tab w:val="right" w:leader="dot" w:pos="9360"/>
        </w:tabs>
      </w:pPr>
      <w:r>
        <w:rPr>
          <w:sz w:val="22"/>
        </w:rPr>
        <w:t>Inspect field validation and transformations</w:t>
      </w:r>
      <w:r>
        <w:rPr>
          <w:sz w:val="22"/>
        </w:rPr>
        <w:tab/>
        <w:t>24</w:t>
      </w:r>
    </w:p>
    <w:p>
      <w:pPr>
        <w:spacing w:after="0" w:line="240" w:lineRule="auto"/>
        <w:tabs>
          <w:tab w:val="right" w:leader="dot" w:pos="9360"/>
        </w:tabs>
      </w:pPr>
      <w:r>
        <w:rPr>
          <w:sz w:val="22"/>
        </w:rPr>
        <w:t>Trace inputs and destination candidates</w:t>
      </w:r>
      <w:r>
        <w:rPr>
          <w:sz w:val="22"/>
        </w:rPr>
        <w:tab/>
        <w:t>24</w:t>
      </w:r>
    </w:p>
    <w:p>
      <w:pPr>
        <w:spacing w:after="0" w:line="240" w:lineRule="auto"/>
        <w:tabs>
          <w:tab w:val="right" w:leader="dot" w:pos="9360"/>
        </w:tabs>
      </w:pPr>
      <w:r>
        <w:rPr>
          <w:sz w:val="22"/>
        </w:rPr>
        <w:t>Inspect migration and schema-version history</w:t>
      </w:r>
      <w:r>
        <w:rPr>
          <w:sz w:val="22"/>
        </w:rPr>
        <w:tab/>
        <w:t>25</w:t>
      </w:r>
    </w:p>
    <w:p>
      <w:pPr>
        <w:spacing w:after="0" w:line="240" w:lineRule="auto"/>
        <w:tabs>
          <w:tab w:val="right" w:leader="dot" w:pos="9360"/>
        </w:tabs>
      </w:pPr>
      <w:r>
        <w:rPr>
          <w:sz w:val="22"/>
        </w:rPr>
        <w:t>Inspect import and export file formats</w:t>
      </w:r>
      <w:r>
        <w:rPr>
          <w:sz w:val="22"/>
        </w:rPr>
        <w:tab/>
        <w:t>26</w:t>
      </w:r>
    </w:p>
    <w:p>
      <w:pPr>
        <w:spacing w:after="0" w:line="240" w:lineRule="auto"/>
        <w:tabs>
          <w:tab w:val="right" w:leader="dot" w:pos="9360"/>
        </w:tabs>
      </w:pPr>
      <w:r>
        <w:rPr>
          <w:sz w:val="22"/>
        </w:rPr>
        <w:t>Record target data retention and archival policies</w:t>
      </w:r>
      <w:r>
        <w:rPr>
          <w:sz w:val="22"/>
        </w:rPr>
        <w:tab/>
        <w:t>26</w:t>
      </w:r>
    </w:p>
    <w:p>
      <w:pPr>
        <w:spacing w:after="0" w:line="240" w:lineRule="auto"/>
        <w:tabs>
          <w:tab w:val="right" w:leader="dot" w:pos="9360"/>
        </w:tabs>
      </w:pPr>
      <w:r>
        <w:rPr>
          <w:sz w:val="22"/>
        </w:rPr>
        <w:t>Compare screen history and visual changes</w:t>
      </w:r>
      <w:r>
        <w:rPr>
          <w:sz w:val="22"/>
        </w:rPr>
        <w:tab/>
        <w:t>27</w:t>
      </w:r>
    </w:p>
    <w:p>
      <w:pPr>
        <w:spacing w:after="0" w:line="240" w:lineRule="auto"/>
        <w:tabs>
          <w:tab w:val="right" w:leader="dot" w:pos="9360"/>
        </w:tabs>
      </w:pPr>
      <w:r>
        <w:rPr>
          <w:sz w:val="22"/>
        </w:rPr>
        <w:t>Record user actions and business purposes</w:t>
      </w:r>
      <w:r>
        <w:rPr>
          <w:sz w:val="22"/>
        </w:rPr>
        <w:tab/>
        <w:t>28</w:t>
      </w:r>
    </w:p>
    <w:p>
      <w:pPr>
        <w:spacing w:after="0" w:line="240" w:lineRule="auto"/>
        <w:tabs>
          <w:tab w:val="right" w:leader="dot" w:pos="9360"/>
        </w:tabs>
      </w:pPr>
      <w:r>
        <w:rPr>
          <w:sz w:val="22"/>
        </w:rPr>
        <w:t>Write attributed knowledge</w:t>
      </w:r>
      <w:r>
        <w:rPr>
          <w:sz w:val="22"/>
        </w:rPr>
        <w:tab/>
        <w:t>28</w:t>
      </w:r>
    </w:p>
    <w:p>
      <w:pPr>
        <w:spacing w:after="0" w:line="240" w:lineRule="auto"/>
        <w:tabs>
          <w:tab w:val="right" w:leader="dot" w:pos="9360"/>
        </w:tabs>
      </w:pPr>
      <w:r>
        <w:rPr>
          <w:sz w:val="22"/>
        </w:rPr>
        <w:t>Link authored sections to exact evidence</w:t>
      </w:r>
      <w:r>
        <w:rPr>
          <w:sz w:val="22"/>
        </w:rPr>
        <w:tab/>
        <w:t>28</w:t>
      </w:r>
    </w:p>
    <w:p>
      <w:pPr>
        <w:spacing w:after="0" w:line="240" w:lineRule="auto"/>
        <w:tabs>
          <w:tab w:val="right" w:leader="dot" w:pos="9360"/>
        </w:tabs>
      </w:pPr>
      <w:r>
        <w:rPr>
          <w:sz w:val="22"/>
        </w:rPr>
        <w:t>Review and retire knowledge</w:t>
      </w:r>
      <w:r>
        <w:rPr>
          <w:sz w:val="22"/>
        </w:rPr>
        <w:tab/>
        <w:t>29</w:t>
      </w:r>
    </w:p>
    <w:p>
      <w:pPr>
        <w:spacing w:after="0" w:line="240" w:lineRule="auto"/>
        <w:tabs>
          <w:tab w:val="right" w:leader="dot" w:pos="9360"/>
        </w:tabs>
      </w:pPr>
      <w:r>
        <w:rPr>
          <w:sz w:val="22"/>
        </w:rPr>
        <w:t>Review changed knowledge against evidence</w:t>
      </w:r>
      <w:r>
        <w:rPr>
          <w:sz w:val="22"/>
        </w:rPr>
        <w:tab/>
        <w:t>29</w:t>
      </w:r>
    </w:p>
    <w:p>
      <w:pPr>
        <w:spacing w:after="0" w:line="240" w:lineRule="auto"/>
        <w:tabs>
          <w:tab w:val="right" w:leader="dot" w:pos="9360"/>
        </w:tabs>
      </w:pPr>
      <w:r>
        <w:rPr>
          <w:sz w:val="22"/>
        </w:rPr>
        <w:t>Answer focused author questions</w:t>
      </w:r>
      <w:r>
        <w:rPr>
          <w:sz w:val="22"/>
        </w:rPr>
        <w:tab/>
        <w:t>30</w:t>
      </w:r>
    </w:p>
    <w:p>
      <w:pPr>
        <w:spacing w:after="0" w:line="240" w:lineRule="auto"/>
        <w:tabs>
          <w:tab w:val="right" w:leader="dot" w:pos="9360"/>
        </w:tabs>
      </w:pPr>
      <w:r>
        <w:rPr>
          <w:sz w:val="22"/>
        </w:rPr>
        <w:t>Preserve saved runtime observations</w:t>
      </w:r>
      <w:r>
        <w:rPr>
          <w:sz w:val="22"/>
        </w:rPr>
        <w:tab/>
        <w:t>30</w:t>
      </w:r>
    </w:p>
    <w:p>
      <w:pPr>
        <w:spacing w:after="0" w:line="240" w:lineRule="auto"/>
        <w:tabs>
          <w:tab w:val="right" w:leader="dot" w:pos="9360"/>
        </w:tabs>
      </w:pPr>
      <w:r>
        <w:rPr>
          <w:sz w:val="22"/>
        </w:rPr>
        <w:t>Retain captures and review rename continuity</w:t>
      </w:r>
      <w:r>
        <w:rPr>
          <w:sz w:val="22"/>
        </w:rPr>
        <w:tab/>
        <w:t>30</w:t>
      </w:r>
    </w:p>
    <w:p>
      <w:pPr>
        <w:spacing w:after="0" w:line="240" w:lineRule="auto"/>
        <w:tabs>
          <w:tab w:val="right" w:leader="dot" w:pos="9360"/>
        </w:tabs>
      </w:pPr>
      <w:r>
        <w:rPr>
          <w:sz w:val="22"/>
        </w:rPr>
        <w:t>Back up and restore a complete database</w:t>
      </w:r>
      <w:r>
        <w:rPr>
          <w:sz w:val="22"/>
        </w:rPr>
        <w:tab/>
        <w:t>31</w:t>
      </w:r>
    </w:p>
    <w:p>
      <w:pPr>
        <w:spacing w:after="0" w:line="240" w:lineRule="auto"/>
        <w:tabs>
          <w:tab w:val="right" w:leader="dot" w:pos="9360"/>
        </w:tabs>
      </w:pPr>
      <w:r>
        <w:rPr>
          <w:sz w:val="22"/>
        </w:rPr>
        <w:t>Publish manuals and handoffs</w:t>
      </w:r>
      <w:r>
        <w:rPr>
          <w:sz w:val="22"/>
        </w:rPr>
        <w:tab/>
        <w:t>31</w:t>
      </w:r>
    </w:p>
    <w:p>
      <w:pPr>
        <w:spacing w:after="0" w:line="240" w:lineRule="auto"/>
        <w:tabs>
          <w:tab w:val="right" w:leader="dot" w:pos="9360"/>
        </w:tabs>
      </w:pPr>
      <w:r>
        <w:rPr>
          <w:sz w:val="22"/>
        </w:rPr>
        <w:t>Translate and review saved sections</w:t>
      </w:r>
      <w:r>
        <w:rPr>
          <w:sz w:val="22"/>
        </w:rPr>
        <w:tab/>
        <w:t>31</w:t>
      </w:r>
    </w:p>
    <w:p>
      <w:pPr>
        <w:spacing w:after="0" w:line="240" w:lineRule="auto"/>
        <w:tabs>
          <w:tab w:val="right" w:leader="dot" w:pos="9360"/>
        </w:tabs>
      </w:pPr>
      <w:r>
        <w:rPr>
          <w:sz w:val="22"/>
        </w:rPr>
        <w:t>Publish localized text and source browsing</w:t>
      </w:r>
      <w:r>
        <w:rPr>
          <w:sz w:val="22"/>
        </w:rPr>
        <w:tab/>
        <w:t>32</w:t>
      </w:r>
    </w:p>
    <w:p>
      <w:pPr>
        <w:spacing w:after="0" w:line="240" w:lineRule="auto"/>
        <w:tabs>
          <w:tab w:val="right" w:leader="dot" w:pos="9360"/>
        </w:tabs>
      </w:pPr>
      <w:r>
        <w:rPr>
          <w:sz w:val="22"/>
        </w:rPr>
        <w:t>Validate a bundle in the application</w:t>
      </w:r>
      <w:r>
        <w:rPr>
          <w:sz w:val="22"/>
        </w:rPr>
        <w:tab/>
        <w:t>32</w:t>
      </w:r>
    </w:p>
    <w:p>
      <w:pPr>
        <w:spacing w:after="0" w:line="240" w:lineRule="auto"/>
        <w:tabs>
          <w:tab w:val="right" w:leader="dot" w:pos="9360"/>
        </w:tabs>
      </w:pPr>
      <w:r>
        <w:rPr>
          <w:sz w:val="22"/>
        </w:rPr>
        <w:t>Validate and preserve exports</w:t>
      </w:r>
      <w:r>
        <w:rPr>
          <w:sz w:val="22"/>
        </w:rPr>
        <w:tab/>
        <w:t>33</w:t>
      </w:r>
    </w:p>
    <w:p>
      <w:pPr>
        <w:spacing w:after="0" w:line="240" w:lineRule="auto"/>
        <w:tabs>
          <w:tab w:val="right" w:leader="dot" w:pos="9360"/>
        </w:tabs>
      </w:pPr>
      <w:r>
        <w:rPr>
          <w:sz w:val="22"/>
        </w:rPr>
        <w:t>Troubleshoot common states</w:t>
      </w:r>
      <w:r>
        <w:rPr>
          <w:sz w:val="22"/>
        </w:rPr>
        <w:tab/>
        <w:t>33</w:t>
      </w:r>
    </w:p>
    <w:p>
      <w:pPr>
        <w:spacing w:after="0" w:line="240" w:lineRule="auto"/>
        <w:tabs>
          <w:tab w:val="right" w:leader="dot" w:pos="9360"/>
        </w:tabs>
      </w:pPr>
      <w:r>
        <w:rPr>
          <w:sz w:val="22"/>
        </w:rPr>
        <w:t>Practice a maintenance handoff</w:t>
      </w:r>
      <w:r>
        <w:rPr>
          <w:sz w:val="22"/>
        </w:rPr>
        <w:tab/>
        <w:t>33</w:t>
      </w:r>
    </w:p>
    <w:p>
      <w:pPr>
        <w:spacing w:after="0" w:line="240" w:lineRule="auto"/>
        <w:tabs>
          <w:tab w:val="right" w:leader="dot" w:pos="9360"/>
        </w:tabs>
      </w:pPr>
      <w:r>
        <w:rPr>
          <w:sz w:val="22"/>
        </w:rPr>
        <w:t>Understand implementation status</w:t>
      </w:r>
      <w:r>
        <w:rPr>
          <w:sz w:val="22"/>
        </w:rPr>
        <w:tab/>
        <w:t>34</w:t>
      </w:r>
    </w:p>
    <w:p>
      <w:pPr>
        <w:spacing w:after="0" w:line="240" w:lineRule="auto"/>
        <w:tabs>
          <w:tab w:val="right" w:leader="dot" w:pos="9360"/>
        </w:tabs>
      </w:pPr>
      <w:r>
        <w:rPr>
          <w:sz w:val="22"/>
        </w:rPr>
        <w:t>Source and revision evidence</w:t>
      </w:r>
      <w:r>
        <w:rPr>
          <w:sz w:val="22"/>
        </w:rPr>
        <w:tab/>
        <w:t>34</w:t>
      </w:r>
    </w:p>
    <w:p>
      <w:pPr>
        <w:spacing w:before="0" w:after="0" w:line="20" w:lineRule="exact"/>
      </w:pPr>
      <w:r>
        <w:rPr>
          <w:sz w:val="2"/>
        </w:rPr>
        <w:fldChar w:fldCharType="end"/>
      </w:r>
    </w:p>
    <w:p>
      <w:pPr>
        <w:pStyle w:val="Heading1"/>
        <w:pageBreakBefore/>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migrations and help in the source checkout root, and WebView2Loader.dll beside the executable. A development launch locates its source checkout; an extracted distribution keeps all three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Record the selected application profile</w:t>
      </w:r>
    </w:p>
    <w:p>
      <w:r>
        <w:t>Choose Projects, then Selected project, to inspect captured project and group files and output declarations. Select a row to read settings, references, capture generation, source hash and source lines. Missing referenced projects remain visible. Project settings and their main-source declaration can describe the same application; this is an evidence list rather than an application count. Output kinds do not verify built binaries or installed services. Known databases returns to the remembered database list.</w:t>
      </w:r>
    </w:p>
    <w:p>
      <w:r>
        <w:t>Open a saved project, choose Projects in the upper-right page selector, click Known databases and then Project profile. Enter the named contributor, purpose and scope, and attribution or evidence context. Fill the known company, department, business unit, criticality, ownership, support, environment, dependency, lifecycle, maturity, vendor, licensing and architecture fields. Unknown fields remain explicitly not supplied.</w:t>
      </w:r>
    </w:p>
    <w:p>
      <w:r>
        <w:t>Click Apply to Knowledge draft. Inspect the generated body and click Save on Knowledge to persist it. Apply alone does not save. Reopen Project profile to edit its structured fields; the generated body is read-only. Saving never independently verifies the statements. Exact fields survive new revisions, named review, database reopen and canonical publication.</w:t>
      </w:r>
    </w:p>
    <w:p>
      <w:pPr>
        <w:pStyle w:val="Heading1"/>
      </w:pPr>
      <w:r>
        <w:t>Define and review business terms</w:t>
      </w:r>
    </w:p>
    <w:p>
      <w:r>
        <w:t>Open the intended project. In the upper-right workspace selector choose Business glossary, then click New term. Enter the business term, one alias or abbreviation per line, a plain-language definition, optional examples, relevance and evidence context, and a named contributor. Do not enter credentials. Context must explain why the term matters to this selected application and where its meaning came from.</w:t>
      </w:r>
    </w:p>
    <w:p>
      <w:r>
        <w:t>Click Apply to Knowledge draft. This prepares an unsaved draft on Knowledge. Click Save and wait for the bottom activity line to finish. Return to Business glossary and select the saved term. Its state is needs_review until a person explicitly verifies it. Applying alone never saves or verifies a term.</w:t>
      </w:r>
    </w:p>
    <w:p>
      <w:r>
        <w:t>To add exact source evidence, select the term and click Open in Knowledge. Choose Knowledge links in the upper-right selector, select the appropriate entity/evidence target and link role, then add the target. Return to Knowledge and click Save. Review the definition and its links against current source, enter a named reviewer in the author/reviewer field, then click Verify review. Source changes reopen review for affected linked terms.</w:t>
      </w:r>
    </w:p>
    <w:p>
      <w:r>
        <w:t>To change a term, return to Business glossary, select it and click Edit term. Change its fields, Apply to Knowledge draft, then Save. A rename keeps the stable knowledge identity. Edits and reviews append history and require fresh verification. Open in Knowledge displays that history. Duplicate terms and aliases are rejected ignoring case and repeated spaces. Names belonging to retired records remain reserved; edit the existing term instead of creating a conflicting replacement.</w:t>
      </w:r>
    </w:p>
    <w:p>
      <w:r>
        <w:t>The glossary filter finds term names, aliases, definitions and examples. Terms are alphabetized and review states remain visible. At a narrow window size, use the horizontal scrollbar under the glossary buttons to reach the filter. Drag the divider below the term list to change its height; scroll within the definition to read longer entries.</w:t>
      </w:r>
    </w:p>
    <w:p>
      <w:r>
        <w:t>Publish the project with an appropriate scope/audience to a new folder outside selected source. Open index.html and find Business glossary; definitions also appear in both editable manuals, canonical.json and indexes/glossary.jsonl. The same captured term revision is used throughout. Confidential source exclusions remove dependent term content. Package validation checks the glossary index against the canonical model.</w:t>
      </w:r>
    </w:p>
    <w:p>
      <w:r>
        <w:t>Repeatable check: create a synthetic term with an alias, Save, reopen the same project, find it by the alias, review it, edit its definition, Save again and confirm history and pending review. Try a duplicate alias and confirm rejection. Publish and compare the current definition and revision in HTML, both DOCX guides and the JSONL index. Use a test project, rather than inserting synthetic definitions into production knowledge.</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Change impact and Data lineage. Select a relevant routine or component before choosing a narrow graph. Ordinary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ordinary views retain their 120-node bound; lineage permits 200. Form navigation does not prove runtime window activation; Change impact is possible reachability. Click a native graph node to inspect its evidence.</w:t>
      </w:r>
    </w:p>
    <w:p>
      <w:pPr>
        <w:pStyle w:val="Heading1"/>
      </w:pPr>
      <w:r>
        <w:t>Investigate source quality candidates</w:t>
      </w:r>
    </w:p>
    <w:p>
      <w:r>
        <w:t>Choose Source quality in the page selector. Select Routine metrics, Duplicate bodies, Unreferenced candidates, Unreachable statements or Call cycles. Enter an optional name or source filter and click Filter. Select a row to read its meaning, source locations, hashes, generation and qualifications. Next 250 advances the bounded result page. Open explanation inspects a routine or the first group member.</w:t>
      </w:r>
    </w:p>
    <w:p>
      <w:r>
        <w:t>Structural decision score counts captured decisions; it is not compiler-exact cyclomatic complexity or a maintainability index. Duplicate candidates compare nontrivial significant-token bodies with exact literals and normalized identifier case, only in completely parsed files. Equal token sequences do not prove equivalent behavior. Missing incoming references and disconnected captured statements do not prove that code is unused or safe to delete. Static call cycles do not establish feasible runtime recursion or termination.</w:t>
      </w:r>
    </w:p>
    <w:p>
      <w:r>
        <w:t>An older detached capture may have no quality report. Attach matching source and reassess to obtain one. DPH retains the original evidence of detached caches rather than inventing new analysis from missing source.</w:t>
      </w:r>
    </w:p>
    <w:p>
      <w:pPr>
        <w:pStyle w:val="Heading1"/>
      </w:pPr>
      <w:r>
        <w:t>Compare captured revisions</w:t>
      </w:r>
    </w:p>
    <w:p>
      <w:r>
        <w:t>Choose Database tools and click Preview retention. Note an earlier generation ID with a retained workspace cache. Choose Revision comparison, enter that ID in Before: saved generation ID and optionally enter a name, relative path or change filter. Click Compare. After is the generation currently displayed by DPH.</w:t>
      </w:r>
    </w:p>
    <w:p>
      <w:r>
        <w:t>Select a result. The labeled Before and After panes show declarations, source references, fingerprints and captured expressions or relationships. Drag the divider and scroll each pane to inspect the evidence. Next 200 advances the bounded result page. A missing cache produces an explicit error. Configuration and analyzer contracts must match.</w:t>
      </w:r>
    </w:p>
    <w:p>
      <w:r>
        <w:t>File changed compares captured fingerprints and availability. Captured structure changed compares declarations, routine flow nodes and edges, and outgoing relationships including recorded event bindings. Source file changed only means the containing file changed while this symbol retained the same captured structure. Historical source bytes are not reconstructed. Partial parsing may miss changes, and removed or added identities require named continuity review before treating them as a move or rename.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Inspect keyboard shortcuts and focus order</w:t>
      </w:r>
    </w:p>
    <w:p>
      <w:r>
        <w:t>Open the intended project and choose Keyboard and focus in the upper-right page selector. Select a component in the list. The detail box identifies its form, serialized parent, class, generation, source hash and line or byte location. It explains captured TabOrder, TabStop, CanFocus, visibility, enabled state, shortcut codes, action references and keyboard event bindings. Scroll inside the detail box to read diagnostics.</w:t>
      </w:r>
    </w:p>
    <w:p>
      <w:r>
        <w:t>The list groups by file, form and parent, then sorts known sibling TabOrder values numerically. A question mark means unknown or not applicable, not zero. Missing properties can come from class defaults or inheritance. Duplicate sibling positions and possible duplicate shortcuts within a form are review candidates. Common Windows shortcut codes have readable labels such as Ctrl+S, while original numeric or hex codes remain visible. Repeated consumers of one action do not count again as duplicate shortcut declarations.</w:t>
      </w:r>
    </w:p>
    <w:p>
      <w:r>
        <w:t>Use the filter to find a component, form, property or diagnostic. Next page advances through at most 250 components per page; First page resets. Scroll the toolbar horizontally in a narrow window to reach the source commands. Component source navigates to verified attached form text. Action source opens a uniquely resolved local action declaration. Detached caches, changed source, historical generations, binary text offsets and paths outside the attached project are refused with an explanation.</w:t>
      </w:r>
    </w:p>
    <w:p>
      <w:r>
        <w:t>DPH does not run the target program. Runtime code, nested containers, inherited values and framework behavior can change keyboard navigation. External or ambiguous actions remain unresolved. Secondary shortcut collections are retained as raw evidence and explicitly excluded from decoded conflict checks. Run the target yourself to check Tab, Shift+Tab and its declared shortcuts. Complete directions are in docs/guides/Keyboard_and_Focus_Run_and_Test.txt. Developers can run tools\build-keyboard.cmd from an elevated Command Prompt.</w:t>
      </w:r>
    </w:p>
    <w:p>
      <w:pPr>
        <w:pStyle w:val="Heading1"/>
      </w:pPr>
      <w:r>
        <w:t>Inspect menus context menus and toolbars</w:t>
      </w:r>
    </w:p>
    <w:p>
      <w:r>
        <w:t>Open the intended project and choose Menus and commands in the upper-right page selector. Select a command to read its serialized menu path, caption or Text, action reference, shortcut codes, check flags, source location and diagnostics. The page inventories main and context menus, menu items and separators, toolbar commands and children, action containers, action consumers and menu attachments.</w:t>
      </w:r>
    </w:p>
    <w:p>
      <w:r>
        <w:t>Choose a command kind or enter a name, caption, property, handler or diagnostic in the filter. Next page advances through 250-row pages; First page resets. Scroll the command bar horizontally to reach Command source, Action source, the handler selector and Explain handler. The detail box below the list scrolls vertically. Drag the divider below the list to resize it.</w:t>
      </w:r>
    </w:p>
    <w:p>
      <w:r>
        <w:t>Command source opens unchanged attached form text. Action source opens a uniquely resolved local action declaration. Select the specific component OnClick, action OnExecute or OnUpdate, or context OnPopup in the handler selector, then click Explain handler to follow its confirmed captured routine. An unresolved handler disables that button. The separate bindings do not establish dispatch precedence. Source navigation refuses changed, detached, historical, binary or out-of-project text locations.</w:t>
      </w:r>
    </w:p>
    <w:p>
      <w:r>
        <w:t>Menu paths follow serialized parents, not observed screen positions. An ampersand in a caption declares an accelerator marker; a separator is not executable. Missing properties remain unknown. OnUpdate and OnPopup can change state and contents at runtime. Readable Windows shortcut names and possible conflicts are on Keyboard and focus. Use docs/guides/Menus_and_Commands_Run_and_Test.txt for explicit run and test steps. DPH does not execute the target application.</w:t>
      </w:r>
    </w:p>
    <w:p>
      <w:pPr>
        <w:pStyle w:val="Heading1"/>
      </w:pPr>
      <w:r>
        <w:t>Inspect dynamic and runtime created controls</w:t>
      </w:r>
    </w:p>
    <w:p>
      <w:r>
        <w:t>Open the intended project and choose Dynamic controls in the upper-right page selector. Attach the source and click Full reassessment for an older capture; DPH-WP3-15 adds owner, parent and event relationships that old captures do not contain. Select a row to read its constructor class, generation, source range and fingerprint. Each row is a source creation site; a loop does not establish its runtime instance count.</w:t>
      </w:r>
    </w:p>
    <w:p>
      <w:r>
        <w:t>The detail box separates the lexical result variable, constructor owner, visual Parent assignment, event assignment and other property expressions. Owner describes lifetime ownership; it does not set Parent. Self refers to the declaring type, not an observed instance. Inferred links identify source declarations. nil preserves an explicit empty-reference expression. A reused or overwritten variable or assignment before construction remains ambiguous. Missing references remain unknown.</w:t>
      </w:r>
    </w:p>
    <w:p>
      <w:r>
        <w:t>Filter by routine, class, parent, owner or event. Next page advances through 250 sites and First page resets. Scroll the command bar horizontally to reach Explain creation site, the reference dropdown and Explain reference. Choose a relationship before explaining its target. Unresolved targets and nil expressions disable reference navigation. Explain opens captured evidence; use Source there for verified attached code. Scroll the detail box vertically or drag its divider to resize it.</w:t>
      </w:r>
    </w:p>
    <w:p>
      <w:r>
        <w:t>DPH does not execute the target or reconstruct observed controls from these sites. Runtime instances, final layout, dispatch and lifetime remain unobserved. Factories, aliases, casts, with scopes and cross-routine mutations can remain unsupported. See docs/guides/Dynamic_Controls_Run_and_Test.txt for explicit directions and manual exercises. Developers can run tools\build-dynamic-controls.cmd elevated for the focused acceptance suite.</w:t>
      </w:r>
    </w:p>
    <w:p>
      <w:pPr>
        <w:pStyle w:val="Heading1"/>
      </w:pPr>
      <w:r>
        <w:t>Inspect responsive layouts anchors and alignments</w:t>
      </w:r>
    </w:p>
    <w:p>
      <w:r>
        <w:t>Open the intended project and choose Layout rules in the upper-right page selector. Select a component to read its captured Align, Anchors, geometry, margins, padding, constraints, scaling and resize events with source locations. Parent means the serialized containing object. Missing and inherited rules remain unknown. These explanations help you investigate resizing without executing the target application.</w:t>
      </w:r>
    </w:p>
    <w:p>
      <w:r>
        <w:t>Enter a parent width change and height change, then click Apply example. Positive values illustrate growth; negative values illustrate shrinking. Each field accepts a whole number from -10000 to 10000. Invalid input preserves the previous valid example. At narrow widths, scroll the command bar horizontally to reach these fields and Apply example. Applying refreshes the filter and returns to the first page.</w:t>
      </w:r>
    </w:p>
    <w:p>
      <w:r>
        <w:t>Numeric anchor examples require an ordinary serialized child, a captured parent, explicit Align=None and recognized explicit anchors. Opposite edges illustrate a size change; trailing edges illustrate movement; leading edges illustrate a fixed offset. No anchor on an axis leaves its framework anchor origin unknown. Active alignment, inherited objects and missing or unknown rules receive explanations without unsupported numeric predictions.</w:t>
      </w:r>
    </w:p>
    <w:p>
      <w:r>
        <w:t>Filter by component, property or explanation. Next page advances through 250 rows; First page resets. Drag the divider below the list to resize it and scroll the detail box for all explanations. Component source opens attached unchanged text at its captured location. Detached, changed and binary source locations are refused explicitly.</w:t>
      </w:r>
    </w:p>
    <w:p>
      <w:r>
        <w:t>The example reports basic changes, not absolute final geometry. Constraints, autosizing, sibling alignment, inherited defaults, spacing, fonts, DPI and custom code can alter the actual result. Run the target separately and resize it at narrow and wide widths and different display scales. Compare with its Object Inspector settings. The Screens reconstruction remains approximate. Full directions are in docs/guides/Layout_Rules_Run_and_Test.txt; developers run tools\build-layout-rules.cmd elevated.</w:t>
      </w:r>
    </w:p>
    <w:p>
      <w:pPr>
        <w:pStyle w:val="Heading1"/>
      </w:pPr>
      <w:r>
        <w:t>Inspect component dependencies and support records</w:t>
      </w:r>
    </w:p>
    <w:p>
      <w:r>
        <w:t>Open the intended project and choose Component dependencies in the upper-right page selector. Select a component to read its class, form source, generation and fingerprint. DPH lists all captured classes because a name alone cannot establish third-party origin. Unresolved means no class declaration was captured; it can involve framework, vendor, local, inherited or excluded source.</w:t>
      </w:r>
    </w:p>
    <w:p>
      <w:r>
        <w:t>A unique class declaration is an inferred lexical candidate. Multiple declarations remain ambiguous. Explain class opens the unique candidate in Explain; it is disabled when no unique candidate exists. Component source opens attached unchanged form text. Detached, changed and binary source locations are refused explicitly. Captured package declarations and unavailable inputs are shown as project-wide context; they do not establish package membership or installed binaries.</w:t>
      </w:r>
    </w:p>
    <w:p>
      <w:r>
        <w:t>Click Edit dependency for the selected class. Enter a named contributor, declaring unit, package or product, vendor or maintainer, version and configuration, support or replacement considerations, and evidence references with remaining unknowns. Class identity is fixed. Evidence and contributor are required; blank optional fields remain unknown. Scroll the editor vertically to reach every field. Click Apply to Knowledge draft, then click Save on Knowledge and wait for completion. Applying alone does not save.</w:t>
      </w:r>
    </w:p>
    <w:p>
      <w:r>
        <w:t>Open in Knowledge shows the saved revision and immutable history. Use Knowledge links to add exact evidence and save, then enter a named reviewer and click Verify review only after checking the claims. Editing dependency fields creates a new revision and reopens review. Duplicate class records are rejected ignoring case; retired identities remain reserved. Save or discard an existing draft before navigating or editing another record.</w:t>
      </w:r>
    </w:p>
    <w:p>
      <w:r>
        <w:t>Filter by class, resolution or authored vendor/support wording. Next page advances through 250 rows; First page resets. Scroll the command bar horizontally at narrow widths and drag the list divider or scroll inside the details. Authored metadata never changes source-resolution status. Attach approved missing source roots and reassess to obtain declarations. No vendor class, package or DLL is loaded. Full directions: docs/guides/Component_Dependencies_Run_and_Test.txt.</w:t>
      </w:r>
    </w:p>
    <w:p>
      <w:pPr>
        <w:pStyle w:val="Heading1"/>
      </w:pPr>
      <w:r>
        <w:t>Inspect inherited forms and embedded frames</w:t>
      </w:r>
    </w:p>
    <w:p>
      <w:r>
        <w:t>Choose Form inheritance in the upper-right page selector after opening the intended project. Select a component to read its declaration origins and base-to-derived property/event history. Captured base-only components remain visible. Inline frames expand independently for each instance, including inherited frame definitions. Root names can differ between ancestor and descendant.</w:t>
      </w:r>
    </w:p>
    <w:p>
      <w:r>
        <w:t>Each property shows its latest serialized value and every captured earlier value with source, line, SHA256 and generation context. An explicit nil event clears an inherited binding; this does not establish actual event dispatch. Read Resolution gaps for missing or ambiguous bases, orphan or incompatible child overlays, conditional ancestors, partial inputs and cycles. Framework defaults, collection-item merging and runtime changes remain unknown.</w:t>
      </w:r>
    </w:p>
    <w:p>
      <w:r>
        <w:t>Scroll the command bar horizontally to reach the origin selector. Select a component declaration or a specific property/event value, then click Open origin source. A base value opens base source; an override opens its overriding source. Navigation requires attached unchanged text from the captured generation. Detached, changed, binary and outside-root origins are refused explicitly. Binary byte provenance remains visible.</w:t>
      </w:r>
    </w:p>
    <w:p>
      <w:r>
        <w:t>Filter by component path, property, value or gap. Next page advances through 250 rows; First page resets. Drag the list divider or scroll the explanation to read more. Full executable paths, exact steps, fixture examples and elevated developer checks are in docs/guides/Form_Inheritance_Run_and_Test.txt. This inspector combines captured declarations; other views retain their own captured-evidence qualifications. No target form/frame/class is instantiated.</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Inspect database connections and datasets</w:t>
      </w:r>
    </w:p>
    <w:p>
      <w:r>
        <w:t>Open the intended project or saved database and choose Database connections in the upper-right page selector. The inventory lists captured connections, datasets, data sources, transactions, sessions and named connection-definition references. Known component class names and database property signals identify candidates. Pascal-only declarations are also listed when an existing semantic component-field binding does not already represent them. This is captured evidence; DPH never opens the selected application database or loads its drivers.</w:t>
      </w:r>
    </w:p>
    <w:p>
      <w:r>
        <w:t>Select a row to read its role, class, generation, source line and SHA256, masked configuration, captured references and Used by dependents. Scroll the evidence memo vertically. Drag the divider below the list to give the list or memo more space. The kind selector and text filter narrow the inventory; text also searches references and reverse dependencies. First page and Next page show 250 rows at a time. Scroll the toolbar horizontally in a narrow window.</w:t>
      </w:r>
    </w:p>
    <w:p>
      <w:r>
        <w:t>Use the reference selector on the right of the toolbar to choose a Target or Used by entry, then click Follow reference. DPH clears the filters and opens the exact referenced row and page. Unique local, nested and explicitly qualified cross-module references are lexical candidates, not proof of runtime binding. Duplicate names, wrong component roles, missing targets and unsupported expressions remain unresolved. Unqualified references are not guessed across unrelated forms. Explicit nil stays explicit.</w:t>
      </w:r>
    </w:p>
    <w:p>
      <w:r>
        <w:t>ConnectionDefName creates a named definition-reference row with reverse references to its connections. Definition contents, engine/version and environment overrides remain unavailable; no INI, registry or external configuration file is silently read. BDE DatabaseName and session aliases can link to captured declarations. Pascal-only declarations and inherited components do not establish runtime construction, assignments or defaults. An empty result does not prove that the program never uses a database.</w:t>
      </w:r>
    </w:p>
    <w:p>
      <w:r>
        <w:t>Configuration is deliberately masked, including endpoints, database paths, users, passwords, connection strings and unknown parameter values. Only validated driver/protocol/dialect/charset/SSL identifiers, ports and booleans are displayed. Connected=True is a serialized declaration, not evidence of successful connection. Source and cache files still contain original evidence and may contain secrets; the inventory is not a scrubbed database backup. Ask the maintainer for approved environment and definition facts without putting credentials into authored explanations. Full paths, practice steps and developer checks are in docs/guides/Database_Connections_Run_and_Test.txt.</w:t>
      </w:r>
    </w:p>
    <w:p>
      <w:pPr>
        <w:pStyle w:val="Heading1"/>
      </w:pPr>
      <w:r>
        <w:t>Inspect database engines and versions</w:t>
      </w:r>
    </w:p>
    <w:p>
      <w:r>
        <w:t>Open the intended project or cache and choose Database connections from the upper-right selector. Each row now summarizes Engine and Declared version. Select it to read DATABASE ENGINE AND VERSION EVIDENCE at the top of the labeled memo. Drag the divider below the list to resize the evidence area and scroll vertically for the full explanation. Use the text filter to find an engine family such as Firebird, PostgreSQL or SQLite, or a component name. General explanatory text is excluded from matching so it does not make every row match an engine name.</w:t>
      </w:r>
    </w:p>
    <w:p>
      <w:r>
        <w:t>A recognized captured FireDAC DriverID identifies a declared engine family, not a successful runtime connection. Supported IDs include ADS, ASA, DB2, FB, IB, IBLite, Infx, MSAcc, MSSQL, MySQL, Ora, PG, SQLite and Mongo. MySQL-compatible deliberately does not distinguish MySQL from compatible servers. Generic component classes, ODBC, virtual driver names, filenames, ports, SQL dialect and the version of DPH own SQLite store cannot identify the selected project database. Unrecognized drivers remain unknown; contradictory driver declarations remain conflicting.</w:t>
      </w:r>
    </w:p>
    <w:p>
      <w:r>
        <w:t>ServerVersion and DatabaseVersion show only bounded numeric declarations actually captured in properties or parameter entries. The label declared means that DPH has not measured the server. ClientVersion and DriverVersion remain separately named evidence and never become server versions. Conflicting numeric declarations are reported as conflicting. Missing, invalid or sensitive values remain unknown or masked. A deployment can override every design declaration; compatibility and current availability remain unknown.</w:t>
      </w:r>
    </w:p>
    <w:p>
      <w:r>
        <w:t>A dataset, transaction or data source can inherit engine evidence through unique resolved captured connection or dataset links, up to three hops. The memo retains the reference path and original connection source, line, generation and SHA256. Conflicting targets and unresolved paths do not invent an engine. Named external connection definitions stay unknown until their actual configuration is captured; DPH does not inspect registry, INI files or live servers. Follow reference navigates exact captured targets as before. Full executable paths, practice examples and developer checks are in docs/guides/Database_Engines_Run_and_Test.txt.</w:t>
      </w:r>
    </w:p>
    <w:p>
      <w:pPr>
        <w:pStyle w:val="Heading1"/>
      </w:pPr>
      <w:r>
        <w:t>Inspect tables views and schemas</w:t>
      </w:r>
    </w:p>
    <w:p>
      <w:r>
        <w:t>Open the intended project or cache and choose Database schema in the upper-right page selector. A table stores rows, a view names a query result, and a schema qualifies object names. DPH shows what captured source declares or references; it does not connect to a database. Select a row to read its name, evidence state, schema qualifier, captured definition, source line, SHA256 and generation in the labeled evidence memo. Drag the divider below the list and scroll the memo for the full explanation.</w:t>
      </w:r>
    </w:p>
    <w:p>
      <w:r>
        <w:t>Declared header means a supported CREATE TABLE, CREATE VIEW or CREATE SCHEMA header was captured in a referenced SQL resource with balanced parentheses. Its displayed definition omits comments and string literals. This establishes the captured declaration text, not valid body grammar, column or constraint semantics, deployed existence, privileges or database compatibility. Qualifier reference means a qualified object name mentions a schema; it does not establish CREATE SCHEMA. Inferred reference means the existing supported SQL analysis names an object whose table or view identity and definition are unverified. Unsupported statements remain visible as gaps.</w:t>
      </w:r>
    </w:p>
    <w:p>
      <w:r>
        <w:t>Combine the object-kind selector, text filter and evidence-state selector to find a table, view, schema or unsupported statement. Text matches object names, qualifiers and source files. First page and Next page show up to 250 matches. In a narrow window, scroll the command strip sideways to reach the evidence-state selector and Open source. Open source requires attached, unchanged source from the same generation. Detached, changed, historical or outside-project source is refused with an explanation in the memo.</w:t>
      </w:r>
    </w:p>
    <w:p>
      <w:r>
        <w:t>Multiple declarations with the same exact kind and spelling retain every definition and show a count. DPH does not choose a migration winner, merge dialect-specific identifier case, or infer deployment order. Ask the maintainer which approved scripts and migration sequence define the intended system. Empty results can mean missing resources or filters; they do not prove there is no schema. Referenced literal SQL files are discovered through existing project inventory rules. Original source and caches remain unchanged and can contain sensitive data. Full start, practice and developer directions are in docs/guides/Database_Schema_Run_and_Test.txt.</w:t>
      </w:r>
    </w:p>
    <w:p>
      <w:pPr>
        <w:pStyle w:val="Heading1"/>
      </w:pPr>
      <w:r>
        <w:t>Inspect column types defaults and constraints</w:t>
      </w:r>
    </w:p>
    <w:p>
      <w:r>
        <w:t>Choose Database schema in the upper-right page selector after opening the intended project or cache. Select column in the kind selector and declared column in the evidence-state selector. Select a row to read Declared type, Nullability declaration and Default declaration at the top of the labeled memo. Columns are the named fields declared within a table. A data type describes the declared representation of a field; a default is a captured expression used when an applicable database operation omits a value; a constraint states a rule. DPH captures those declarations without executing or validating them against a server.</w:t>
      </w:r>
    </w:p>
    <w:p>
      <w:r>
        <w:t>Explicit NULL and explicit NOT NULL identify clauses actually present in that column entry. Not declared means absent from that entry, not an inferred effective default or permission to store nulls. Primary keys, domains, inherited schema and later migrations can affect effective rules; their implications are not synthesized into explicit declarations. DEFAULT NULL is a default expression and does not become an explicit nullability clause. Numeric, symbolic, simple function and parenthesized defaults retain captured text. String literal contents are replaced by a visible literal omitted marker. Nothing is evaluated.</w:t>
      </w:r>
    </w:p>
    <w:p>
      <w:r>
        <w:t>Inline constraints show captured NOT NULL, NULL, PRIMARY KEY, UNIQUE, REFERENCES and CHECK text, including supported named clauses. Choose constraint and captured constraint to read table-level entries separately. A CHECK expression can contain commas without splitting the table incorrectly. Constraint text alone does not establish key membership. The key view described in Inspect primary foreign and unique keys now captures supported membership and reference evidence. Valid expression semantics and deployed enforcement require separate investigation. Every column retains the original source line, SHA256, generation and exact parent table declaration identity, so duplicate table definitions cannot silently merge their columns.</w:t>
      </w:r>
    </w:p>
    <w:p>
      <w:r>
        <w:t>Filter by table or column name, source file, declared type such as DECIMAL, explicit nullability or inline constraint text. Combine this with kind and state filters. First page and Next page show 250 matches; scroll commands sideways in a narrow window. Unsupported column clauses, missing types/default expressions and conflicting explicit nullability become gaps with the full sanitized entry and an explanation. Later supported entries remain inspectable. Open source uses the existing attached-source hash and generation guards. Read docs/guides/Database_Columns_Run_and_Test.txt for complete directions and controlled practice.</w:t>
      </w:r>
    </w:p>
    <w:p>
      <w:pPr>
        <w:pStyle w:val="Heading1"/>
      </w:pPr>
      <w:r>
        <w:t>Inspect primary foreign and unique keys</w:t>
      </w:r>
    </w:p>
    <w:p>
      <w:r>
        <w:t>Open your captured project or cache, then choose Database schema in the upper-right page selector. Select key in the kind selector and declared key in the state selector. A primary key declares how to identify a row, a unique key declares a distinct combination of column values, and a foreign key declares a reference to another table. These are captured declarations; DPH does not connect to your server or establish that the rules are deployed.</w:t>
      </w:r>
    </w:p>
    <w:p>
      <w:r>
        <w:t>Select a key row. The memo begins with Key type, Ordered local columns, Referenced table, Ordered referenced columns and Relationships. Composite columns retain their written order. Named constraints retain their name; anonymous constraints use a source-local label, not a fabricated server name. Inline PRIMARY KEY, UNIQUE and REFERENCES declarations become single-column key records. Supported table constraints capture composite lists and ON DELETE or ON UPDATE actions. A primary key does not rewrite the separately captured explicit nullability of a column.</w:t>
      </w:r>
    </w:p>
    <w:p>
      <w:r>
        <w:t>Scroll the command strip sideways to reach the relationship selector and Follow relationship. Choose owning table, local column, referenced table or referenced column, then click Follow relationship. DPH clears the filters and opens that exact captured row, including rows on later pages. Only uniquely matched evidence appears as a navigation choice. Missing or ambiguous declarations remain explained in the memo. An unqualified reference is not matched to a guessed schema; quoted names and case retain their exact captured spelling.</w:t>
      </w:r>
    </w:p>
    <w:p>
      <w:r>
        <w:t>Relationship gaps include a missing column or table, duplicate declarations, omitted referenced columns, differing local and referenced column counts, duplicate constraint names and multiple primary keys in one declaration. DPH does not guess omitted primary-key targets or select an effective migration. Captured links complete means every requested evidence link was identified; it does not validate target uniqueness, data compatibility or database enforcement. Unsupported key expressions and tails remain explicit gaps. Inline reference actions beyond the supported column reader remain column gaps.</w:t>
      </w:r>
    </w:p>
    <w:p>
      <w:r>
        <w:t>Filter by constraint name, table, source, key type such as foreign, referenced table or relationship status. First page and Next page show 250 matches. Open source requires the attached unchanged source and matching generation. Read docs/guides/Database_Keys_Run_and_Test.txt for explicit launch, practice and validation steps. The controlled fixture includes Child_FK referencing Parent, along with deliberately missing and ambiguous examples.</w:t>
      </w:r>
    </w:p>
    <w:p>
      <w:pPr>
        <w:pStyle w:val="Heading1"/>
      </w:pPr>
      <w:r>
        <w:t>Inspect indexes and performance evidence</w:t>
      </w:r>
    </w:p>
    <w:p>
      <w:r>
        <w:t>Open the intended project or cache and choose Database schema in the upper-right page selector. Choose index in the kind selector and declared index in the state selector. Select a row. An index is a declared access structure that can affect reads, writes and storage. DPH shows what captured source declares; it does not connect to a database or measure whether the index helps.</w:t>
      </w:r>
    </w:p>
    <w:p>
      <w:r>
        <w:t>The memo starts with Indexed table, Unique declared, Method, Storage kind and Ordered index members. Member order, explicit ASC or DESC and NULLS FIRST or LAST are retained. Not declared means absent from the captured declaration; it does not imply a default for an unknown database engine. Function or parenthesized expressions retain sanitized text. Their column dependencies remain unverified rather than being guessed from words in the expression.</w:t>
      </w:r>
    </w:p>
    <w:p>
      <w:r>
        <w:t>Included columns are separate from key members. A predicate records the captured text of a partial or filtered index. Unique null treatment, explicit clustering, CONCURRENTLY, IF NOT EXISTS, ONLY, WITH storage options and TABLESPACE declarations remain separate facts. Text inside predicates and storage options is not evaluated or validated as database syntax. Literal values are omitted from the projection. Duplicate definitions remain separate, with the effective migration unresolved.</w:t>
      </w:r>
    </w:p>
    <w:p>
      <w:r>
        <w:t>Scroll the command strip sideways to the relationship selector. Choose indexed table, indexed column, included column or SQL table reference and click Follow relationship. DPH opens the exact captured target and its required 250-row page. Missing or ambiguous tables and columns have no invented link. A SQL table reference means supported captured SQL names the same exact table; it does not establish that a query used this index or that its predicates or selected columns are covered. Zero references means no supported captured match, not that the index is unused. Navigation shows up to 250 references per index and 10000 across the projection, with total and shown counts.</w:t>
      </w:r>
    </w:p>
    <w:p>
      <w:r>
        <w:t>Filter by index name, target table, method, predicate text, clustering, storage options or relationship status. First page and Next page show 250 matches. Unsupported member options, missing names or lists, malformed structures and unsupported tails remain explicit gaps. Open source uses attached-file generation and hash guards. Follow docs/guides/Database_Indexes_Run_and_Test.txt for launch, practice and developer validation steps. In the controlled fixture, IX_Composite links Data.Target, ordered a and b members, included note and a separate SQL resource.</w:t>
      </w:r>
    </w:p>
    <w:p>
      <w:r>
        <w:t>For a performance investigation, ask the maintainer for an approved execution plan and measured workload observations. Record supplied runtime evidence through the existing Runtime observations workflow with contributor and run context. Source declarations and matching SQL references alone do not establish optimizer selection, physical size, timings, selectivity or an index recommendation.</w:t>
      </w:r>
    </w:p>
    <w:p>
      <w:pPr>
        <w:pStyle w:val="Heading1"/>
      </w:pPr>
      <w:r>
        <w:t>Inspect stored procedures functions and triggers</w:t>
      </w:r>
    </w:p>
    <w:p>
      <w:r>
        <w:t>Open the intended project or cache and choose Database schema in the upper-right page selector. Choose procedure, function or trigger in the kind selector, then declared stored object in the state selector. Select a row. A procedure groups database work, a function declares a returned value and a trigger associates work with a database event. DPH inspects already captured SQL resources; it does not execute the selected application or SQL.</w:t>
      </w:r>
    </w:p>
    <w:p>
      <w:r>
        <w:t>The details memo begins with the stored-object name, captured CREATE operation, language, return type and ordered parameters. Each parameter shows position, exact name, IN/OUT/INOUT or supported output mode, declared type, default text and source line. Literal default values are replaced with a literal-omitted marker. Not declared means absent from the captured statement, not an engine default or proof that a value cannot be returned.</w:t>
      </w:r>
    </w:p>
    <w:p>
      <w:r>
        <w:t>For a trigger, read Trigger table, Timing, Events, Scope and WHEN before the body. BEFORE, AFTER and INSTEAD OF describe captured timing; they are not observations of an execution. A supported trigger can retain an inline block or an explicit zero-argument function call. WHEN remains unevaluated text. Unsupported event or option grammar stays in an explained gap.</w:t>
      </w:r>
    </w:p>
    <w:p>
      <w:r>
        <w:t>Scroll the command strip sideways to the relationship selector, choose a table reference, procedure call, trigger table or function call, then click Follow relationship. DPH clears the filters and selects the exact captured target on its required 250-row page. Missing or ambiguous definitions have no guessed link. Multiple definitions and overloads remain independent; a name match cannot establish runtime argument binding or which migration is effective.</w:t>
      </w:r>
    </w:p>
    <w:p>
      <w:r>
        <w:t>The captured body appears after the structural facts and relationship notes. Comments and string literals are omitted, including literals inside supported single-quoted or dollar-quoted SQL bodies. The original attached source or cache remains unchanged. Open source requires the current attached capture generation and unchanged source hash; detached or changed source produces an explanation instead of opening unverified live content.</w:t>
      </w:r>
    </w:p>
    <w:p>
      <w:r>
        <w:t>Dependency coverage is deliberately qualified. Supported literal table references and explicit calls provide evidence links. Dynamic execution, expression calls, aliases, CTE binding and column binding remain unverified; table references in a body containing WITH stay unresolved. Empty dependencies do not establish independence. Display is bounded to 1000 dependencies per object and 10000 across the projection; a reached limit is explained. These are source relationships, not observed execution paths.</w:t>
      </w:r>
    </w:p>
    <w:p>
      <w:r>
        <w:t>Search accepts object name, source, language, return type, trigger event/timing, parameter text or sanitized body text. First page resets pagination; Next page shows the next 250 matches. For a practice session and exact launch/build directions, use docs/guides/Database_Stored_Objects_Run_and_Test.txt. In the controlled fixture Data.Save has ordered parameters and links to Data.Target, Data.Log and Page270. Data.Audit links its event table and Data.Hook function. MissingRef, DynamicRef and AmbiguousHook demonstrate evidence gaps.</w:t>
      </w:r>
    </w:p>
    <w:p>
      <w:pPr>
        <w:pStyle w:val="Heading1"/>
      </w:pPr>
      <w:r>
        <w:t>Inspect entity relationship diagrams</w:t>
      </w:r>
    </w:p>
    <w:p>
      <w:r>
        <w:t>An entity relationship (ER) diagram shows tables as boxes and declared foreign keys as arrows. Choose Database ER diagram in the upper-right page selector after opening the intended project or cache. DPH uses captured SQL table and key metadata. It never connects to a database server or executes target SQL. Empty results mean no matching supported captured declarations, not proof that the application has no database.</w:t>
      </w:r>
    </w:p>
    <w:p>
      <w:r>
        <w:t>Read PARTIAL schema above the drawing. Its counts show matching tables, related foreign keys, omitted relationships, source gaps and unresolved foreign keys. Blue arrows connect captured exact table targets; orange dashed arrows mark unresolved relationships when both endpoints are available. Missing or off-page targets remain in the FK evidence selector without an invented box or line. Cardinality, deployed enforcement, referenced uniqueness, type compatibility and effective migration order are unverified.</w:t>
      </w:r>
    </w:p>
    <w:p>
      <w:r>
        <w:t>Each table box shows ordered column names and declared types. PK means primary key, FK means foreign key and UQ means unique key. These badges describe captured column membership. A repeated membership appears once per badge. Orange table borders mark gaps, duplicates or a truncated column summary. The footer reports shown and total columns. Click a table to read its full captured columns, keys and gaps in the labeled details memo below the drawing. Open evidence selects that exact table in Database schema, including its required page.</w:t>
      </w:r>
    </w:p>
    <w:p>
      <w:r>
        <w:t>To inspect an arrow, scroll the command strip sideways to the FK evidence selector and choose its numbered entry. The memo shows the original key, ordered local and referenced columns, source hash, capture generation and source range. Open evidence selects the exact key in Database schema. Arrow numbers correspond to selector entries. The selector retains relationships touching a visible table even when the other endpoint is outside the focus, page or filter.</w:t>
      </w:r>
    </w:p>
    <w:p>
      <w:r>
        <w:t>For a smaller diagram, select a table, column or key in Database schema, then click View ER diagram in that page's command strip. Alternatively click Focus schema selection in the ER command strip. Focus includes that exact table and its directly linked incoming and outgoing neighbors. The text filter searches table name, schema and source within that focus. All tables clears both focus and text. First page resets paging; Next page advances by the selected 15, 30 or 60 table page size. Zoom offers 75 through 200 percent; use the drawing scrollbars to reach enlarged cards and lower rows.</w:t>
      </w:r>
    </w:p>
    <w:p>
      <w:r>
        <w:t>The default IDE-editable cards summarize seven columns; all captured columns remain available in table evidence. A page holds at most 60 tables and 120 related foreign-key entries. Omitted FK counts are explicit. Duplicate table declarations stay separate; inferred SQL references, views and unsupported statements do not become table entities. The diagram is regenerated when a capture is replaced. In a small window, scroll commands sideways, scroll the drawing independently and drag the details divider if needed. Maximize the window for the largest useful diagram.</w:t>
      </w:r>
    </w:p>
    <w:p>
      <w:r>
        <w:t>For exact launch, practice and build steps, read docs/guides/Database_ER_Diagrams_Run_and_Test.txt. The controlled fixture contains ER_Customers, ER_Orders and ER_Lines with two arrows. Focus ER_Orders to see that three-table chain. ER_ManyLinks deliberately exercises the relationship display limit. Inspect SelfRef and MissingRef for self links and unresolved evidence. These diagrams are rendered by the running native application, not mockup screens.</w:t>
      </w:r>
    </w:p>
    <w:p>
      <w:pPr>
        <w:pStyle w:val="Heading1"/>
      </w:pPr>
      <w:r>
        <w:t>Define table and column business meanings</w:t>
      </w:r>
    </w:p>
    <w:p>
      <w:r>
        <w:t>A data dictionary explains what a table or column means to the people using the application. DPH captures technical SQL structure, but a knowledgeable contributor must supply business meanings. Open Database schema in the upper-right page selector. Select a declared table or column. The labeled details area starts with its saved business dictionary, or explains that none has been recorded for these captured source bytes.</w:t>
      </w:r>
    </w:p>
    <w:p>
      <w:r>
        <w:t>Scroll the command strip horizontally to the right and click Edit dictionary. Enter the named contributor, Business definition, Business owner or steward, Sensitivity and handling, and Evidence and remaining unknowns. These fields are required; explicitly write Unknown and the person or evidence needed when an answer is unavailable. Units values and business usage is optional. Do not paste actual customer records, credentials or confidential example values. A sensitivity entry is documentation, not automatic access control.</w:t>
      </w:r>
    </w:p>
    <w:p>
      <w:r>
        <w:t>The editor begins with business fields. Scroll downward to inspect the read-only schema identity, source path, SHA256, original capture generation, object kind/name, owning table and statement line. These identify the exact captured declaration; duplicate table names are not merged. DPH does not infer a business definition, responsible owner or sensitivity from an SQL name or declared type.</w:t>
      </w:r>
    </w:p>
    <w:p>
      <w:r>
        <w:t>Click Apply to Knowledge draft. The editor closes and Knowledge displays the protected structured draft. Click Save to create an immutable revision. Apply alone does not persist anything. Use Discard edit if you do not want the draft. To change a saved definition, return to Database schema, select the same table or column and click Edit dictionary again. Editing requires a fresh human review.</w:t>
      </w:r>
    </w:p>
    <w:p>
      <w:r>
        <w:t>Click Open dictionary history beside Edit dictionary to view contributor, editor, review state and immutable revisions in Knowledge. Enter the named reviewer and choose Verify review, Reject or Retire as appropriate. Saving a definition does not verify its truth. Additional canonical source, relationship, screenshot or section evidence can be added on Knowledge links. Open source on Database schema follows the selected captured source under the existing hash checks.</w:t>
      </w:r>
    </w:p>
    <w:p>
      <w:r>
        <w:t>The Database schema text filter also searches saved current definitions, owners, sensitivity and usage. Clear the filter to restore the inventory. Tables or columns not captured as supported declarations cannot be given invented schema identities. A changed SQL resource does not automatically inherit its old dictionary. When the same source/record/name has historical text, details explains the mismatch and Open dictionary history preserves access. Other unmatched records remain in Knowledge. Recheck business facts and author a definition for the newly captured declaration.</w:t>
      </w:r>
    </w:p>
    <w:p>
      <w:r>
        <w:t>Project handoffs include matching attributed dictionary records through the existing Knowledge sections and structured canonical records. Source exclusions and selected source scope apply; definitions whose captured source hashes differ are omitted. Review business descriptions before publishing. Native controls remain editable in the Delphi IDE. No SQL, target application or database server is run by this workflow.</w:t>
      </w:r>
    </w:p>
    <w:p>
      <w:pPr>
        <w:pStyle w:val="Heading1"/>
      </w:pPr>
      <w:r>
        <w:t>Follow dataset and screen field bindings</w:t>
      </w:r>
    </w:p>
    <w:p>
      <w:r>
        <w:t>Open the project or cached database, then choose Database connections in the upper-right page selector. Choose bound control in the kind filter to find data-aware controls, persistent field for captured field components, or data source for the intermediary between a control and dataset. Clear the text filter before changing the kind if no rows appear. Field names and component paths are searchable.</w:t>
      </w:r>
    </w:p>
    <w:p>
      <w:r>
        <w:t>Select a bound control. The labeled details memo begins with DATASET AND SCREEN BINDINGS and lists its captured DataSource and DataField references. Select Target via DataSource in the reference selector and click Follow reference to inspect the data source, then follow DataSet to its dataset and Connection to the captured connection. To go straight to a captured persistent field, select Target via DataField and click Follow reference. A field name can refer to a calculated or lookup field; it does not prove a live database column.</w:t>
      </w:r>
    </w:p>
    <w:p>
      <w:r>
        <w:t>Select a persistent field to see its captured FieldName, FieldKind, Required, ReadOnly, Size and Precision when serialized. Its DataSet reference identifies the serialized owning dataset, and Used by references return to bound controls. Choose a reference in the selector before clicking Follow reference; use the horizontal toolbar scrollbar when the command is outside the visible area. The details memo scrolls independently.</w:t>
      </w:r>
    </w:p>
    <w:p>
      <w:r>
        <w:t>For FMX TLinkControlToField, DPH recognizes the serialized DataSource, FieldName and Control properties. Follow DataSource to TBindSourceDB and DataSet, FieldName to a unique persistent field, or Control to the captured visual target. This explains stored component references without creating any target component or executing LiveBindings. General expression-based bindings, dynamically created fields, runtime assignments, uncaptured inherited values and missing external targets remain unknown.</w:t>
      </w:r>
    </w:p>
    <w:p>
      <w:r>
        <w:t>Duplicate field declarations or ambiguous data-source targets are reported without choosing one. A missing persistent field remains unresolved even if a runtime dataset might create it. Native controls are editable in the IDE. Run and test directions are in docs/guides/Dataset_Bindings_Run_and_Test.txt. The screen-data inventory is evidence for the selected captured revision, not a live database connection or an assertion about production data.</w:t>
      </w:r>
    </w:p>
    <w:p>
      <w:pPr>
        <w:pStyle w:val="Heading1"/>
      </w:pPr>
      <w:r>
        <w:t>Inspect database read and write operations</w:t>
      </w:r>
    </w:p>
    <w:p>
      <w:r>
        <w:t>Choose Database connections in the upper-right page selector, then choose database operation in its kind filter. Clear the text filter to see all captured requests; enter Post, Delete, read, insert or a calling routine name to narrow the list. Select a row. The evidence memo begins with its operation kind, requested effect and evidence basis. Operation requests are source candidates; DPH does not run the selected application or connect to its database.</w:t>
      </w:r>
    </w:p>
    <w:p>
      <w:r>
        <w:t>Open, Refresh, navigation and search methods are read candidates. Append and Insert prepare a new record buffer; Edit prepares an update. AppendRecord and InsertRecord request insertion. Post submits a pending insert or edit, depending on the dataset state; cached updates can defer persistence. Delete requests deletion of the current record. ApplyUpdates can submit mixed pending writes. Cancel and CancelUpdates concern pending edits or cached changes. None of these calls proves transaction commit or rollback.</w:t>
      </w:r>
    </w:p>
    <w:p>
      <w:r>
        <w:t>Literal SELECT, INSERT, UPDATE and DELETE text is classified separately from calls. Configuring SQL does not execute it. Joined statements retain their lexical family even when table and column binding is unsupported. Dynamic SQL, mixed batches and unsupported prefixes remain unknown. SQL values are omitted from this inventory. Inspect approved source locally to understand parameters and context.</w:t>
      </w:r>
    </w:p>
    <w:p>
      <w:r>
        <w:t>Select Target via DataSet in the reference selector and click Follow reference to inspect the exact captured receiver. A dataset lists reverse operation references in the same selector. Click Source to open the original location only after attaching unchanged source; detached, changed and historical evidence refuses navigation. Use the horizontal toolbar scrollbar to reach Follow reference and Source when they are outside the visible area. Scroll within the evidence memo for engine evidence and unknowns. Full reassessment upgrades an older capture to the new analyzer. Explicit run and test directions are in docs/guides/Database_Operations_Run_and_Test.txt.</w:t>
      </w:r>
    </w:p>
    <w:p>
      <w:pPr>
        <w:pStyle w:val="Heading1"/>
      </w:pPr>
      <w:r>
        <w:t>Inspect transaction and rollback paths</w:t>
      </w:r>
    </w:p>
    <w:p>
      <w:r>
        <w:t>Choose Database connections in the upper-right page selector. In its kind filter choose transaction operation, then clear the text filter. Select StartTransaction or BeginTrans to inspect a begin request. Select Commit, Rollback or a retaining variant to inspect that boundary. Use the calling routine name to narrow the list. Searches include linked references, so a search for a begin call may also show its connected commit and rollback rows.</w:t>
      </w:r>
    </w:p>
    <w:p>
      <w:r>
        <w:t>The evidence memo begins with TRANSACTION PATHS (SOURCE POSSIBILITIES). Each route leads to the next explicit transaction request on the same declared receiver, or to a normal/exception routine exit without another boundary. Possible normal and exception paths remain distinct. Conditional/loop routes and duplicated finally cleanup copies are labeled. A route is a conservative source possibility, not proof that the transaction started or that a commit or rollback succeeded.</w:t>
      </w:r>
    </w:p>
    <w:p>
      <w:r>
        <w:t>In the reference selector choose a Target via possible normal path or possible exception path, then click Follow reference to inspect the next boundary. Target via Transaction opens the captured receiver; Used by returns to an earlier boundary. Follow reference clears filters to reveal its exact target, so reselect transaction operation when returning to the inventory. Scroll the command bar sideways to reach Follow reference and Source. Source requires unchanged attached source; a detached cache refuses navigation.</w:t>
      </w:r>
    </w:p>
    <w:p>
      <w:r>
        <w:t>CommitRetaining and RollbackRetaining preserve or restart transaction context according to the provider. RollbackSavepoint concerns a savepoint rather than necessarily the full transaction. Post and Cancel are dataset operations and do not establish transaction completion. A visible exit without another boundary requires source and caller review; implicit transactions, aliases, external effects and provider behavior remain unknown. Missing, ambiguous or truncated flow must never be read as safe completion. Explicit launch and test steps are in docs/guides/Database_Transactions_Run_and_Test.txt.</w:t>
      </w:r>
    </w:p>
    <w:p>
      <w:pPr>
        <w:pStyle w:val="Heading1"/>
      </w:pPr>
      <w:r>
        <w:t>Inspect field validation and transformations</w:t>
      </w:r>
    </w:p>
    <w:p>
      <w:r>
        <w:t>Open the intended project or cache and choose Database connections in the upper-right page selector. Choose data rule in its kind filter. Clear the text filter, then search for a field, handler, predicate, constraint or transformation expression. Select a row. The labeled evidence memo begins DATA VALIDATION AND TRANSFORMATION EVIDENCE and shows Input expression, Output expression, Constraint, Captured expression and conditional compilation context. Drag the divider below the list or scroll the memo for the full explanation.</w:t>
      </w:r>
    </w:p>
    <w:p>
      <w:r>
        <w:t>Declared field constraints include captured Required, ReadOnly, Size, Precision, MinValue, MaxValue, CustomConstraint, DefaultExpression, error-message and edit-mask declarations. Numeric and constraint structure remains visible; literal contents are omitted. A declaration does not establish an inherited default or a successfully enforced rule. Default expressions are not evaluated. An omitted message or mask can be inspected through approved hash-checked Source.</w:t>
      </w:r>
    </w:p>
    <w:p>
      <w:r>
        <w:t>Validation and conversion hooks include OnValidate, OnSetText, OnGetText, BeforePost and other recognized dataset or input events. Captured handler conditions, raises, early returns and assignment expressions provide technical rule candidates. Assignment rows identify the written expression and its input expression, with links to available lexical declarations. Handler context identifies its associated field, dataset or bound control; it does not prove that every statement acts on that field or that an event actually ran.</w:t>
      </w:r>
    </w:p>
    <w:p>
      <w:r>
        <w:t>Scroll the command bar sideways to reach the reference selector, Follow reference and Source. Follow rule context to the field or dataset, handler to its captured routine, or lexical input/output to a declaration. Follow clears filters to show the exact target; reselect data rule afterward. Source requires unchanged attached source in the displayed generation. Missing or ambiguous handlers and unavailable syntax remain explicit. The shared 10000-row inventory limit reports omitted rules. Full launch, practice and test directions are in docs/guides/Data_Rules_Run_and_Test.txt. DPH does not run target code, SQL or validation.</w:t>
      </w:r>
    </w:p>
    <w:p>
      <w:pPr>
        <w:pStyle w:val="Heading1"/>
      </w:pPr>
      <w:r>
        <w:t>Trace inputs and destination candidates</w:t>
      </w:r>
    </w:p>
    <w:p>
      <w:r>
        <w:t>Start DPH from bin/Win32/Debug/DelphiProjectHandoff.exe. Attach the application you intend to document or open its captured database. Choose Database connections in the upper-right page selector. Choose bound control, persistent field, data rule or database operation in the kind selector and select a relevant row. Drag the horizontal toolbar scrollbar fully right to reveal Both directions, Trace lineage and Lineage diagram.</w:t>
      </w:r>
    </w:p>
    <w:p>
      <w:r>
        <w:t>Click Trace lineage. The labeled memo shows the starting point, direction, capture generation and truncation state, followed by scoped route nodes, captured edges and unresolved breaks. Each node identifies its captured source location and SHA256. Select a Lineage hop in the reference selector, then click Follow reference. A component or rule opens its inventory evidence; a semantic declaration or file output opens Explain. To open the originally selected inventory row in unchanged attached source, return to Database connections and click Source. For another traced node, follow that node first and use its own Source command.</w:t>
      </w:r>
    </w:p>
    <w:p>
      <w:r>
        <w:t>Both directions includes serialized controls and fields, data-source and dataset references, rule context, procedure reads and writes, operations and file-output candidates. This is a source relationship neighborhood. A procedure that reads one variable and writes another does not establish a value transfer between them. Dependencies are explicitly labeled separately from context. Choose Inputs for upstream dependencies or Destinations for downstream dependencies, then click Trace lineage again. These directions omit broad procedure read/write/handler context while retaining captured binding and rule context.</w:t>
      </w:r>
    </w:p>
    <w:p>
      <w:r>
        <w:t>Click Lineage diagram to open Graphs with Data lineage selected. Orange dashed arrows show qualified source relationships. The HTML diagram labels arrows and lists unresolved breaks below it. Select a component node to open Database connections or a declaration/output node to open Explain. A native graph remains available when the embedded browser is unavailable. Exact node identity is retained and grouping is disabled. To return to the textual route, choose Database connections in the page selector, select the intended starting row and click Trace lineage.</w:t>
      </w:r>
    </w:p>
    <w:p>
      <w:r>
        <w:t>A file destination node identifies a captured writer and whether the destination expression was literal or dynamic. Follow it to Explain and inspect captured source for the expression. Projected lineage omits literal contents and configuration values. No file is produced and no SQL is executed by the trace. Unknown handlers, absent dataset references, unavailable semantic targets, connection boundaries and omitted routes remain explicit. A final captured endpoint does not establish successful delivery, current values or runtime execution. Limits are 200 returned nodes, 800 edges and 12 hops; index limits are also reported. Full directions and a controlled practice project are in docs/guides/Data_Lineage_Run_and_Test.txt.</w:t>
      </w:r>
    </w:p>
    <w:p>
      <w:pPr>
        <w:pStyle w:val="Heading1"/>
      </w:pPr>
      <w:r>
        <w:t>Inspect migration and schema-version history</w:t>
      </w:r>
    </w:p>
    <w:p>
      <w:r>
        <w:t>Start bin/Win32/Debug/DelphiProjectHandoff.exe and attach the application you intend to document, or open its captured database. In the upper-right page selector choose Database schema. In the leftmost kind selector choose migration. Keep the state selector at All to include readable script candidates and migration gaps. Enter part of a script filename or an explicit user_version assignment in the search box. Select a row.</w:t>
      </w:r>
    </w:p>
    <w:p>
      <w:r>
        <w:t>A migration changes database structure or data between application versions. DPH shows each referenced captured SQL script as a candidate. The evidence memo begins with a filename order candidate, explicit target-version assignments, verification requests, applied status and source fingerprint. Leading numeric filename prefixes provide intended-order candidates within each directory. Equivalent numbers such as 001 and 1 produce an explicit conflict. File numbers and captured loader enumeration do not establish the order used by a migration runner.</w:t>
      </w:r>
    </w:p>
    <w:p>
      <w:r>
        <w:t>SQLite user_version assignments with a supported nonnegative integer preserve their schema qualifier and statement line. Multiple assignments remain visible; DPH does not select a deployed winner. A query of user_version and SQLite schema_version are not promoted to an application target version. Other migration-framework version metadata and dynamic expressions remain unknown. Captured integrity_check, quick_check and foreign_key_check requests identify potential verification work; DPH does not run them and does not report a successful result.</w:t>
      </w:r>
    </w:p>
    <w:p>
      <w:r>
        <w:t>Drag the command bar scrollbar right to reveal the relationship selector and Follow relationship. Choose a captured schema evidence link and click Follow relationship to inspect the script declaration or gap. To read a script, select its migration row and click Open source. Source opens only when the attached bytes still match the capture. A migration gap cites the Pascal loader of an unavailable script; no missing SQL is reconstructed. Clear filters and use First page or Next page for larger inventories.</w:t>
      </w:r>
    </w:p>
    <w:p>
      <w:r>
        <w:t>Applied state remains unknown because source text is not a deployment ledger. Ask the maintainer to supply the intended migration framework, ordering rules, expected schema versions and recorded verification results. Save attributed explanations through Knowledge and review them against evidence. Full commands and a controlled practice project are in docs/guides/Schema_History_Run_and_Test.txt.</w:t>
      </w:r>
    </w:p>
    <w:p>
      <w:pPr>
        <w:pStyle w:val="Heading1"/>
      </w:pPr>
      <w:r>
        <w:t>Inspect import and export file formats</w:t>
      </w:r>
    </w:p>
    <w:p>
      <w:r>
        <w:t>Start bin/Win32/Debug/DelphiProjectHandoff.exe. Attach the application you intend to document or open its captured database. Choose Import/export formats in the upper-right page selector. A file-format contract explains how another program can produce or consume a file: its encoding, structure, required fields, compatibility and error handling.</w:t>
      </w:r>
    </w:p>
    <w:p>
      <w:r>
        <w:t>Use the kind selector to choose import, export or captured resource. Enter a format, routine or encoding in the search field. Select a row and read Format evidence and saved contract below the list. First page and Next page navigate inventories over 250 rows. Scroll the command bar horizontally when the window is narrow. Open source opens unchanged attached evidence; Explain routine selects the captured enclosing routine.</w:t>
      </w:r>
    </w:p>
    <w:p>
      <w:r>
        <w:t>Captured JSON, XML and INI resources expose bounded member structure with scalar values omitted. This is observed structure, not a formal validation schema. Transfer API spellings identify candidates and literal filename extensions; explicit TEncoding arguments remain source candidates. Captured source decoding is separate from a transfer encoding contract. Dynamic paths, defaults, missing structure and unsupported formats remain unknown.</w:t>
      </w:r>
    </w:p>
    <w:p>
      <w:r>
        <w:t>Click Record/open contract. An existing contract opens in Knowledge; otherwise DPH prepares a draft with fields for format/version, purpose, encoding and BOM, schema, delimiters and escaping, producer, consumer, validation, compatibility and verification. Complete each field or explicitly record Unknown and its responsible maintainer. Enter the named author, click Save and review separately against evidence. Preparing the draft does not save or verify it. Clear an unsaved Knowledge draft before opening a different contract.</w:t>
      </w:r>
    </w:p>
    <w:p>
      <w:r>
        <w:t>Contracts retain an exact captured source identity. Reassessment with changed source creates a different contract identity; previous records remain available in Knowledge. DPH does not execute a transfer or infer successful compatibility. Detailed commands and controlled practice instructions are in docs/guides/File_Formats_Run_and_Test.txt.</w:t>
      </w:r>
    </w:p>
    <w:p>
      <w:pPr>
        <w:pStyle w:val="Heading1"/>
      </w:pPr>
      <w:r>
        <w:t>Record target data retention and archival policies</w:t>
      </w:r>
    </w:p>
    <w:p>
      <w:r>
        <w:t>Start bin/Win32/Debug/DelphiProjectHandoff.exe and attach the application you want to document, or open its saved database. Choose Target data retention in the upper-right page selector. This page records the selected application's data obligations and archival procedures. DPH database snapshot retention remains on Database tools and is a separate feature.</w:t>
      </w:r>
    </w:p>
    <w:p>
      <w:r>
        <w:t>Click New policy. DPH opens an unsaved Knowledge draft. Replace the default title with a descriptive data scope before saving; saved titles remain stable. Enter the named contributor and complete the body below its first heading. The prompts cover data categories and tables/files, policy basis, retention period and clock-start event, expiry calculation, archive trigger and schedule, archive destination and permissions, disposal, legal holds, ownership, retrieval, failure monitoring, verification evidence and remaining unknowns. Record Unknown and its responsible maintainer when a fact is unavailable.</w:t>
      </w:r>
    </w:p>
    <w:p>
      <w:r>
        <w:t>To link an implementing routine, choose Knowledge links in the page selector. Select entity in the target-kind selector, enter the routine name, and click Find targets. Select the semantic_routine result, choose depends_on, then Add link. To cite an operating procedure saved in Knowledge, choose section, search its title and Add link with cites. Return to Knowledge and click Save. Links are explicit captured identities or exact section revisions; a written job name alone does not resolve an implementation link. Link search returns up to 200 candidates, so narrow the filter when necessary.</w:t>
      </w:r>
    </w:p>
    <w:p>
      <w:r>
        <w:t>Return to Target data retention. Filter by review state or search policy text, contributor, scope or job. Select a saved policy to read its original contributor, current revision author, reviewer and explicit link count. First page and Next page cover registers larger than 250 policies. Scroll the toolbar sideways in a narrow window. Open policy loads the saved Knowledge record for editing and named review. Implementation links opens its saved links; select a link and Open saved target to inspect its captured routine or exact procedure revision.</w:t>
      </w:r>
    </w:p>
    <w:p>
      <w:r>
        <w:t>Save creates a pending review revision. Review separately against policy evidence; editing a reviewed policy reopens review and retains earlier revisions. Save or discard an existing Knowledge draft before opening another policy. DPH does not execute archival, deletion, SQL or target jobs. Human review does not establish legal compliance or observed success; Unknown fields remain unresolved. Detailed run, practice and test commands are in docs/guides/Data_Retention_Run_and_Test.txt.</w:t>
      </w:r>
    </w:p>
    <w:p>
      <w:pPr>
        <w:pStyle w:val="Heading1"/>
      </w:pPr>
      <w:r>
        <w:t>Compare screen history and visual changes</w:t>
      </w:r>
    </w:p>
    <w:p>
      <w:r>
        <w:t>Open the intended saved project, then choose Screen history in the upper-right page selector. Import actual PNG evidence on Screenshots first: enter a named contributor and a caption describing the screen, application build and conditions, then click Import an existing PNG screenshot. Each image belongs to the generation displayed at import. Import the earlier image while its matching generation is current; after reassessment import the later image. A caption does not verify an image against source.</w:t>
      </w:r>
    </w:p>
    <w:p>
      <w:r>
        <w:t>Select the Before and After screenshot records by artifact ID, generation and caption. The newest 200 imports are available. Choose Imported images and click Compare. Scroll the command bar horizontally to reach hidden commands. Scroll the page vertically to see the previews, change list and evidence memo. Swap sides exchanges both images and form paths; click Compare again. Changing a selection clears the previous result and discards a late worker response.</w:t>
      </w:r>
    </w:p>
    <w:p>
      <w:r>
        <w:t>The pixel mask uses top-left coordinates and compares exact decoded RGB after transparency is composited on white. Red marks changed overlapping pixels; magenta marks an extent present on only one side; white means unchanged or outside both. The evidence memo reports counts, inclusive changed bounds, original dimensions, contributors, import times, generation IDs and SHA256 fingerprints. Images are fitted only for display; comparison does not resize, align, normalize color profiles or apply a tolerance. Animation, theme, DPI and content changes can affect pixels without proving a defect or its cause.</w:t>
      </w:r>
    </w:p>
    <w:p>
      <w:r>
        <w:t>For captured layouts enter both relative form paths, for example forms/Main.dfm, before clicking Compare. Choose Captured layouts to see blue Before geometry, orange After geometry and their overlay. Both retained captures must use the same project and analysis selection with compatible parser contracts. These drawings are approximate reconstructions, not runtime screenshots. They omit style/custom-paint behavior and show at most 300 component rectangles per pane. Missing property values remain unknown, default or inherited.</w:t>
      </w:r>
    </w:p>
    <w:p>
      <w:r>
        <w:t>Filter the layout change list by component path or serialized values. First page and Next page show 250 rows at a time. Select a row to read added, removed or changed classes/properties and their exact before/after evidence. Renames appear as removal plus addition. Missing historical captures or form paths produce an explicit layout gap while keeping the valid image comparison. Keep necessary releases through Database tools before retention removes a capture. Full executable paths, practice steps and test commands are in docs/guides/Screen_History_Run_and_Test.txt.</w:t>
      </w:r>
    </w:p>
    <w:p>
      <w:pPr>
        <w:pStyle w:val="Heading1"/>
      </w:pPr>
      <w:r>
        <w:t>Record user actions and business purposes</w:t>
      </w:r>
    </w:p>
    <w:p>
      <w:r>
        <w:t>Open the intended project and choose Action purposes in the upper-right page selector. Each captured UI object is a candidate. Select a row to see its caption or event binding, exact source identity and saved review state. A caption or handler name does not establish a business purpose. Not recorded means a knowledgeable contributor has not supplied it.</w:t>
      </w:r>
    </w:p>
    <w:p>
      <w:r>
        <w:t>Scroll the command bar horizontally to reach Edit purpose. Enter a named contributor and the action name, business purpose, numbered user steps, expected outcome and evidence. Also record the screen and user role, trigger, prerequisites and permissions, and failures or recovery. Unknown answers must remain explicit; never enter credentials. The three target identity fields are read only. Duplicate captured paths disable mapping until the ambiguity is resolved.</w:t>
      </w:r>
    </w:p>
    <w:p>
      <w:r>
        <w:t>Click Apply to Knowledge draft, then click Save on Knowledge. Apply alone does not save. Add exact evidence using Knowledge links if needed. Inspect the immutable history, enter a named reviewer and click Verify review only after checking the claims and current evidence. Editing a purpose reopens review. Saving or approving prose does not prove a runtime outcome.</w:t>
      </w:r>
    </w:p>
    <w:p>
      <w:r>
        <w:t>Choose New task for a project procedure with no UI mapping, then complete the same fields, Apply and Save. Use the review-state selector or text filter to find recorded and unrecorded work. First page and Next page show 250 candidates at a time. Open in Knowledge exposes history; Component source and Explain object follow captured evidence when available. Source navigation requires attached unchanged text. Missing saved targets remain historical or unresolved.</w:t>
      </w:r>
    </w:p>
    <w:p>
      <w:r>
        <w:t>Saved purpose records participate in project search, canonical handoffs, exported HTML and the user manual. Review the generation and state before sharing. Full executable paths, a controlled practice example and developer test commands are in docs/guides/Action_Purposes_Run_and_Test.txt.</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Development backups have resumed on H:, the owner-approved USB drive. Allow at least 60 seconds for the drive to wake before assessing availability. The pre-change backup is separate from the application database backup workflow. Git and both GitHub repositories also preserve validated application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H: development backups are enabled. Allow at least 60 seconds for this USB drive to wake before assessing availability.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Understand implementation status</w:t>
      </w:r>
    </w:p>
    <w:p>
      <w:r>
        <w:t>The supplied Phase 1 inventory contains 533 numbered requirements plus presentation rules. All 510 formerly unassessed requirements were reconciled in 21 audit batches. No unassessed items remain. The traceability ledger and implementation backlog distinguish implemented features, attributed manual capture, partial behavior and missing features. After the glossary, keyboard, command inventory, dynamic control, layout rule and component dependency implementations, 319 requirement records remain incomplete; overlapping records can share an implementation task. Earlier WP acceptance and 0.3.0 packages do not establish completion of the larger inventory.</w:t>
      </w:r>
    </w:p>
    <w:p>
      <w:r>
        <w:t>Exact launch and test commands are maintained in docs\guides\Run_And_Test.txt and Business_Glossary_Run_and_Test.txt. The tools\build-phase1.cmd suite checks structured profiles, source-quality findings, captured revision comparison and project catalogs; tools\build-glossary.cmd checks the glossary. A PASS applies only to the stated behavior and inputs and does not complete unrelated requirements.</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spacing w:after="0"/>
      </w:pPr>
      <w:r>
        <w:rPr>
          <w:sz w:val="18"/>
        </w:rPr>
        <w:t>DPH.Analysis.Async.pas</w:t>
      </w:r>
    </w:p>
    <w:p>
      <w:pPr>
        <w:spacing w:after="20"/>
      </w:pPr>
      <w:r>
        <w:rPr>
          <w:rFonts w:ascii="Consolas" w:hAnsi="Consolas"/>
          <w:sz w:val="16"/>
        </w:rPr>
        <w:t>876a836f25b3d323ac4d6f635701fb4e8e97955fdff39c964368aa62f1a4c153</w:t>
      </w:r>
    </w:p>
    <w:p>
      <w:pPr>
        <w:keepNext/>
        <w:spacing w:after="0"/>
      </w:pPr>
      <w:r>
        <w:rPr>
          <w:sz w:val="18"/>
        </w:rPr>
        <w:t>DPH.Analysis.Explanations.pas</w:t>
      </w:r>
    </w:p>
    <w:p>
      <w:pPr>
        <w:spacing w:after="20"/>
      </w:pPr>
      <w:r>
        <w:rPr>
          <w:rFonts w:ascii="Consolas" w:hAnsi="Consolas"/>
          <w:sz w:val="16"/>
        </w:rPr>
        <w:t>43244ca3544edffabbf8a52af92a5f8081794894db0fd88fdd67fd1dbab560fb</w:t>
      </w:r>
    </w:p>
    <w:p>
      <w:pPr>
        <w:keepNext/>
        <w:spacing w:after="0"/>
      </w:pPr>
      <w:r>
        <w:rPr>
          <w:sz w:val="18"/>
        </w:rPr>
        <w:t>DPH.Analysis.Flow.pas</w:t>
      </w:r>
    </w:p>
    <w:p>
      <w:pPr>
        <w:spacing w:after="20"/>
      </w:pPr>
      <w:r>
        <w:rPr>
          <w:rFonts w:ascii="Consolas" w:hAnsi="Consolas"/>
          <w:sz w:val="16"/>
        </w:rPr>
        <w:t>ee7610544411a64da399659f2af11e84408d285837a45205d610d2c37af8ef57</w:t>
      </w:r>
    </w:p>
    <w:p>
      <w:pPr>
        <w:keepNext/>
        <w:spacing w:after="0"/>
      </w:pPr>
      <w:r>
        <w:rPr>
          <w:sz w:val="18"/>
        </w:rPr>
        <w:t>DPH.Analysis.Model.pas</w:t>
      </w:r>
    </w:p>
    <w:p>
      <w:pPr>
        <w:spacing w:after="20"/>
      </w:pPr>
      <w:r>
        <w:rPr>
          <w:rFonts w:ascii="Consolas" w:hAnsi="Consolas"/>
          <w:sz w:val="16"/>
        </w:rPr>
        <w:t>93d7e969508ff4862a98f7e4d7b6cb690cf741792d5a0e4dbac9f012bc8c5035</w:t>
      </w:r>
    </w:p>
    <w:p>
      <w:pPr>
        <w:keepNext/>
        <w:spacing w:after="0"/>
      </w:pPr>
      <w:r>
        <w:rPr>
          <w:sz w:val="18"/>
        </w:rPr>
        <w:t>DPH.Analysis.Persistence.pas</w:t>
      </w:r>
    </w:p>
    <w:p>
      <w:pPr>
        <w:spacing w:after="20"/>
      </w:pPr>
      <w:r>
        <w:rPr>
          <w:rFonts w:ascii="Consolas" w:hAnsi="Consolas"/>
          <w:sz w:val="16"/>
        </w:rPr>
        <w:t>08609c3df54250a8f6712e22e991f7ad8d444352e7103ba0959d2feba4a2b3c7</w:t>
      </w:r>
    </w:p>
    <w:p>
      <w:pPr>
        <w:keepNext/>
        <w:spacing w:after="0"/>
      </w:pPr>
      <w:r>
        <w:rPr>
          <w:sz w:val="18"/>
        </w:rPr>
        <w:t>DPH.Analysis.Quality.pas</w:t>
      </w:r>
    </w:p>
    <w:p>
      <w:pPr>
        <w:spacing w:after="20"/>
      </w:pPr>
      <w:r>
        <w:rPr>
          <w:rFonts w:ascii="Consolas" w:hAnsi="Consolas"/>
          <w:sz w:val="16"/>
        </w:rPr>
        <w:t>50196d33a8d15cfeb52528dde93a2bfdc22b153e2533830b08e3ac097e14fd82</w:t>
      </w:r>
    </w:p>
    <w:p>
      <w:pPr>
        <w:keepNext/>
        <w:spacing w:after="0"/>
      </w:pPr>
      <w:r>
        <w:rPr>
          <w:sz w:val="18"/>
        </w:rPr>
        <w:t>DPH.Analysis.SQL.pas</w:t>
      </w:r>
    </w:p>
    <w:p>
      <w:pPr>
        <w:spacing w:after="20"/>
      </w:pPr>
      <w:r>
        <w:rPr>
          <w:rFonts w:ascii="Consolas" w:hAnsi="Consolas"/>
          <w:sz w:val="16"/>
        </w:rPr>
        <w:t>68ea587d47e2c7ebf660f85eed6b605f6076480ead3a461742b8290fec7a130e</w:t>
      </w:r>
    </w:p>
    <w:p>
      <w:pPr>
        <w:keepNext/>
        <w:spacing w:after="0"/>
      </w:pPr>
      <w:r>
        <w:rPr>
          <w:sz w:val="18"/>
        </w:rPr>
        <w:t>DPH.Analysis.Symbols.pas</w:t>
      </w:r>
    </w:p>
    <w:p>
      <w:pPr>
        <w:spacing w:after="20"/>
      </w:pPr>
      <w:r>
        <w:rPr>
          <w:rFonts w:ascii="Consolas" w:hAnsi="Consolas"/>
          <w:sz w:val="16"/>
        </w:rPr>
        <w:t>47c187a32ad1a040760bd9459e843d9c6fa7ced7b4ea5843280d2680127cc047</w:t>
      </w:r>
    </w:p>
    <w:p>
      <w:pPr>
        <w:keepNext/>
        <w:spacing w:after="0"/>
      </w:pPr>
      <w:r>
        <w:rPr>
          <w:sz w:val="18"/>
        </w:rPr>
        <w:t>DPH.Knowledge.ActionPurpose.pas</w:t>
      </w:r>
    </w:p>
    <w:p>
      <w:pPr>
        <w:spacing w:after="20"/>
      </w:pPr>
      <w:r>
        <w:rPr>
          <w:rFonts w:ascii="Consolas" w:hAnsi="Consolas"/>
          <w:sz w:val="16"/>
        </w:rPr>
        <w:t>bd548e1d5bbb886d3d3f2b5ba59d1cd86144a92877eba20596f956582740573f</w:t>
      </w:r>
    </w:p>
    <w:p>
      <w:pPr>
        <w:keepNext/>
        <w:spacing w:after="0"/>
      </w:pPr>
      <w:r>
        <w:rPr>
          <w:sz w:val="18"/>
        </w:rPr>
        <w:t>DPH.Knowledge.ComponentDependency.pas</w:t>
      </w:r>
    </w:p>
    <w:p>
      <w:pPr>
        <w:spacing w:after="20"/>
      </w:pPr>
      <w:r>
        <w:rPr>
          <w:rFonts w:ascii="Consolas" w:hAnsi="Consolas"/>
          <w:sz w:val="16"/>
        </w:rPr>
        <w:t>56bc1021fffa88f0a383a2a159b4c74328d735597f72c3ec279ef42ad2a2ccbe</w:t>
      </w:r>
    </w:p>
    <w:p>
      <w:pPr>
        <w:keepNext/>
        <w:spacing w:after="0"/>
      </w:pPr>
      <w:r>
        <w:rPr>
          <w:sz w:val="18"/>
        </w:rPr>
        <w:t>DPH.Knowledge.Glossary.pas</w:t>
      </w:r>
    </w:p>
    <w:p>
      <w:pPr>
        <w:spacing w:after="20"/>
      </w:pPr>
      <w:r>
        <w:rPr>
          <w:rFonts w:ascii="Consolas" w:hAnsi="Consolas"/>
          <w:sz w:val="16"/>
        </w:rPr>
        <w:t>9c50a06ccf405f786526e206e5e84ea956604eeb42e1a84b9f91c31cced70dcb</w:t>
      </w:r>
    </w:p>
    <w:p>
      <w:pPr>
        <w:keepNext/>
        <w:spacing w:after="0"/>
      </w:pPr>
      <w:r>
        <w:rPr>
          <w:sz w:val="18"/>
        </w:rPr>
        <w:t>DPH.Knowledge.ProjectProfile.pas</w:t>
      </w:r>
    </w:p>
    <w:p>
      <w:pPr>
        <w:spacing w:after="20"/>
      </w:pPr>
      <w:r>
        <w:rPr>
          <w:rFonts w:ascii="Consolas" w:hAnsi="Consolas"/>
          <w:sz w:val="16"/>
        </w:rPr>
        <w:t>e901a58b02c2aafe2cc21df4da7dced2807a9cc8840c325c72d9db64cedc44bd</w:t>
      </w:r>
    </w:p>
    <w:p>
      <w:pPr>
        <w:keepNext/>
        <w:spacing w:after="0"/>
      </w:pPr>
      <w:r>
        <w:rPr>
          <w:sz w:val="18"/>
        </w:rPr>
        <w:t>DPH.Parse.Forms.pas</w:t>
      </w:r>
    </w:p>
    <w:p>
      <w:pPr>
        <w:spacing w:after="20"/>
      </w:pPr>
      <w:r>
        <w:rPr>
          <w:rFonts w:ascii="Consolas" w:hAnsi="Consolas"/>
          <w:sz w:val="16"/>
        </w:rPr>
        <w:t>3cf7d49afd859e2d2749cb30e5fdd76120eaf05ef5223e8fb8bf6eb1a7fcd66c</w:t>
      </w:r>
    </w:p>
    <w:p>
      <w:pPr>
        <w:keepNext/>
        <w:spacing w:after="0"/>
      </w:pPr>
      <w:r>
        <w:rPr>
          <w:sz w:val="18"/>
        </w:rPr>
        <w:t>DPH.Parse.Lexer.pas</w:t>
      </w:r>
    </w:p>
    <w:p>
      <w:pPr>
        <w:spacing w:after="20"/>
      </w:pPr>
      <w:r>
        <w:rPr>
          <w:rFonts w:ascii="Consolas" w:hAnsi="Consolas"/>
          <w:sz w:val="16"/>
        </w:rPr>
        <w:t>6ce5bbc66f8170b17eaeda536b8e500ca9992131477c09bc8e1a33bb6dd1c7f0</w:t>
      </w:r>
    </w:p>
    <w:p>
      <w:pPr>
        <w:keepNext/>
        <w:spacing w:after="0"/>
      </w:pPr>
      <w:r>
        <w:rPr>
          <w:sz w:val="18"/>
        </w:rPr>
        <w:t>DPH.Parse.Model.pas</w:t>
      </w:r>
    </w:p>
    <w:p>
      <w:pPr>
        <w:spacing w:after="20"/>
      </w:pPr>
      <w:r>
        <w:rPr>
          <w:rFonts w:ascii="Consolas" w:hAnsi="Consolas"/>
          <w:sz w:val="16"/>
        </w:rPr>
        <w:t>bdecd758070044593a6a19bfd53b35f9a23286e2542194313222cdfee51d6557</w:t>
      </w:r>
    </w:p>
    <w:p>
      <w:pPr>
        <w:keepNext/>
        <w:spacing w:after="0"/>
      </w:pPr>
      <w:r>
        <w:rPr>
          <w:sz w:val="18"/>
        </w:rPr>
        <w:t>DPH.Parse.Pascal.pas</w:t>
      </w:r>
    </w:p>
    <w:p>
      <w:pPr>
        <w:spacing w:after="20"/>
      </w:pPr>
      <w:r>
        <w:rPr>
          <w:rFonts w:ascii="Consolas" w:hAnsi="Consolas"/>
          <w:sz w:val="16"/>
        </w:rPr>
        <w:t>016adbe9ba24b90d457455722782cdbbc657233bd1a07ba1bcdcd77f3340587e</w:t>
      </w:r>
    </w:p>
    <w:p>
      <w:pPr>
        <w:keepNext/>
        <w:spacing w:after="0"/>
      </w:pPr>
      <w:r>
        <w:rPr>
          <w:sz w:val="18"/>
        </w:rPr>
        <w:t>DPH.Parse.Preprocessor.pas</w:t>
      </w:r>
    </w:p>
    <w:p>
      <w:pPr>
        <w:spacing w:after="20"/>
      </w:pPr>
      <w:r>
        <w:rPr>
          <w:rFonts w:ascii="Consolas" w:hAnsi="Consolas"/>
          <w:sz w:val="16"/>
        </w:rPr>
        <w:t>34b7513019a41bc9911babfda72041addd563959ee54c54d0759b8cc9fa7fefc</w:t>
      </w:r>
    </w:p>
    <w:p>
      <w:pPr>
        <w:keepNext/>
        <w:spacing w:after="0"/>
      </w:pPr>
      <w:r>
        <w:rPr>
          <w:sz w:val="18"/>
        </w:rPr>
        <w:t>DPH.Parse.Resources.pas</w:t>
      </w:r>
    </w:p>
    <w:p>
      <w:pPr>
        <w:spacing w:after="20"/>
      </w:pPr>
      <w:r>
        <w:rPr>
          <w:rFonts w:ascii="Consolas" w:hAnsi="Consolas"/>
          <w:sz w:val="16"/>
        </w:rPr>
        <w:t>f63153edba8656b315956fdd8ccf52e45b1446d8192f9b84c96c153bf676258f</w:t>
      </w:r>
    </w:p>
    <w:p>
      <w:pPr>
        <w:keepNext/>
        <w:spacing w:after="0"/>
      </w:pPr>
      <w:r>
        <w:rPr>
          <w:sz w:val="18"/>
        </w:rPr>
        <w:t>DPH.Project.Analysis.pas</w:t>
      </w:r>
    </w:p>
    <w:p>
      <w:pPr>
        <w:spacing w:after="20"/>
      </w:pPr>
      <w:r>
        <w:rPr>
          <w:rFonts w:ascii="Consolas" w:hAnsi="Consolas"/>
          <w:sz w:val="16"/>
        </w:rPr>
        <w:t>5af3808df19a7c403b456342e45b9e2c8c63195368847b151f3c57ed461b5c2a</w:t>
      </w:r>
    </w:p>
    <w:p>
      <w:pPr>
        <w:keepNext/>
        <w:spacing w:after="0"/>
      </w:pPr>
      <w:r>
        <w:rPr>
          <w:sz w:val="18"/>
        </w:rPr>
        <w:t>DPH.Project.Inventory.pas</w:t>
      </w:r>
    </w:p>
    <w:p>
      <w:pPr>
        <w:spacing w:after="20"/>
      </w:pPr>
      <w:r>
        <w:rPr>
          <w:rFonts w:ascii="Consolas" w:hAnsi="Consolas"/>
          <w:sz w:val="16"/>
        </w:rPr>
        <w:t>061736891f0fab486996ff5d8132af1cf5e25a2f93a74fb3e03ad8fa04e2c266</w:t>
      </w:r>
    </w:p>
    <w:p>
      <w:pPr>
        <w:keepNext/>
        <w:spacing w:after="0"/>
      </w:pPr>
      <w:r>
        <w:rPr>
          <w:sz w:val="18"/>
        </w:rPr>
        <w:t>DPH.Project.Source.pas</w:t>
      </w:r>
    </w:p>
    <w:p>
      <w:pPr>
        <w:spacing w:after="20"/>
      </w:pPr>
      <w:r>
        <w:rPr>
          <w:rFonts w:ascii="Consolas" w:hAnsi="Consolas"/>
          <w:sz w:val="16"/>
        </w:rPr>
        <w:t>8efa444743f0e90831631df963f26a2542561efab63b26f1c5b41fff6b96994e</w:t>
      </w:r>
    </w:p>
    <w:p>
      <w:pPr>
        <w:keepNext/>
        <w:spacing w:after="0"/>
      </w:pPr>
      <w:r>
        <w:rPr>
          <w:sz w:val="18"/>
        </w:rPr>
        <w:t>DPH.Publish.BrowserPolicy.pas</w:t>
      </w:r>
    </w:p>
    <w:p>
      <w:pPr>
        <w:spacing w:after="20"/>
      </w:pPr>
      <w:r>
        <w:rPr>
          <w:rFonts w:ascii="Consolas" w:hAnsi="Consolas"/>
          <w:sz w:val="16"/>
        </w:rPr>
        <w:t>74d2f36c879f1b7b55133241c3e1abc28ce113c4d9f581a5123be83f94d705ce</w:t>
      </w:r>
    </w:p>
    <w:p>
      <w:pPr>
        <w:keepNext/>
        <w:spacing w:after="0"/>
      </w:pPr>
      <w:r>
        <w:rPr>
          <w:sz w:val="18"/>
        </w:rPr>
        <w:t>DPH.Publish.Export.pas</w:t>
      </w:r>
    </w:p>
    <w:p>
      <w:pPr>
        <w:spacing w:after="20"/>
      </w:pPr>
      <w:r>
        <w:rPr>
          <w:rFonts w:ascii="Consolas" w:hAnsi="Consolas"/>
          <w:sz w:val="16"/>
        </w:rPr>
        <w:t>0a36aa00c6c9591521d53977e2a4985b4cb390dfa79c7dcbc337c74ff306c39e</w:t>
      </w:r>
    </w:p>
    <w:p>
      <w:pPr>
        <w:keepNext/>
        <w:spacing w:after="0"/>
      </w:pPr>
      <w:r>
        <w:rPr>
          <w:sz w:val="18"/>
        </w:rPr>
        <w:t>DPH.Publish.Model.pas</w:t>
      </w:r>
    </w:p>
    <w:p>
      <w:pPr>
        <w:spacing w:after="20"/>
      </w:pPr>
      <w:r>
        <w:rPr>
          <w:rFonts w:ascii="Consolas" w:hAnsi="Consolas"/>
          <w:sz w:val="16"/>
        </w:rPr>
        <w:t>532727b11c1245adceaab9e43a6f16d4bce573cf1f31c148978a78457462039f</w:t>
      </w:r>
    </w:p>
    <w:p>
      <w:pPr>
        <w:keepNext/>
        <w:spacing w:after="0"/>
      </w:pPr>
      <w:r>
        <w:rPr>
          <w:sz w:val="18"/>
        </w:rPr>
        <w:t>DPH.Publish.Translation.pas</w:t>
      </w:r>
    </w:p>
    <w:p>
      <w:pPr>
        <w:spacing w:after="20"/>
      </w:pPr>
      <w:r>
        <w:rPr>
          <w:rFonts w:ascii="Consolas" w:hAnsi="Consolas"/>
          <w:sz w:val="16"/>
        </w:rPr>
        <w:t>978be4250a2332736f73cd4e56e85d5c2f0b0d3a6224a4db2f8f3b7b5f4cde20</w:t>
      </w:r>
    </w:p>
    <w:p>
      <w:pPr>
        <w:keepNext/>
        <w:spacing w:after="0"/>
      </w:pPr>
      <w:r>
        <w:rPr>
          <w:sz w:val="18"/>
        </w:rPr>
        <w:t>DPH.Storage.Backup.pas</w:t>
      </w:r>
    </w:p>
    <w:p>
      <w:pPr>
        <w:spacing w:after="20"/>
      </w:pPr>
      <w:r>
        <w:rPr>
          <w:rFonts w:ascii="Consolas" w:hAnsi="Consolas"/>
          <w:sz w:val="16"/>
        </w:rPr>
        <w:t>78e8c8de8af5120f8ce453793f947c5e2918e51dafc66f9e129c964fe28697bc</w:t>
      </w:r>
    </w:p>
    <w:p>
      <w:pPr>
        <w:keepNext/>
        <w:spacing w:after="0"/>
      </w:pPr>
      <w:r>
        <w:rPr>
          <w:sz w:val="18"/>
        </w:rPr>
        <w:t>DPH.Storage.Database.pas</w:t>
      </w:r>
    </w:p>
    <w:p>
      <w:pPr>
        <w:spacing w:after="20"/>
      </w:pPr>
      <w:r>
        <w:rPr>
          <w:rFonts w:ascii="Consolas" w:hAnsi="Consolas"/>
          <w:sz w:val="16"/>
        </w:rPr>
        <w:t>323e07e2255dc9c0780c42aaab2fea8cfdb03143a82eb1ec628eb9f8b8d0312e</w:t>
      </w:r>
    </w:p>
    <w:p>
      <w:pPr>
        <w:keepNext/>
        <w:spacing w:after="0"/>
      </w:pPr>
      <w:r>
        <w:rPr>
          <w:sz w:val="18"/>
        </w:rPr>
        <w:t>DPH.Storage.Types.pas</w:t>
      </w:r>
    </w:p>
    <w:p>
      <w:pPr>
        <w:spacing w:after="20"/>
      </w:pPr>
      <w:r>
        <w:rPr>
          <w:rFonts w:ascii="Consolas" w:hAnsi="Consolas"/>
          <w:sz w:val="16"/>
        </w:rPr>
        <w:t>1e83ccbe6868979ff9d763a4f2bf4d64691c2b2343de6717391f03e204d5d219</w:t>
      </w:r>
    </w:p>
    <w:p>
      <w:pPr>
        <w:keepNext/>
        <w:spacing w:after="0"/>
      </w:pPr>
      <w:r>
        <w:rPr>
          <w:sz w:val="18"/>
        </w:rPr>
        <w:t>DPH.UI.ActionPurpose.pas</w:t>
      </w:r>
    </w:p>
    <w:p>
      <w:pPr>
        <w:spacing w:after="20"/>
      </w:pPr>
      <w:r>
        <w:rPr>
          <w:rFonts w:ascii="Consolas" w:hAnsi="Consolas"/>
          <w:sz w:val="16"/>
        </w:rPr>
        <w:t>6016874bdc24964ce2371431d77babc68f03a50f045e8d20e222e4989bcbf79d</w:t>
      </w:r>
    </w:p>
    <w:p>
      <w:pPr>
        <w:keepNext/>
        <w:spacing w:after="0"/>
      </w:pPr>
      <w:r>
        <w:rPr>
          <w:sz w:val="18"/>
        </w:rPr>
        <w:t>DPH.UI.ComponentDependency.pas</w:t>
      </w:r>
    </w:p>
    <w:p>
      <w:pPr>
        <w:spacing w:after="20"/>
      </w:pPr>
      <w:r>
        <w:rPr>
          <w:rFonts w:ascii="Consolas" w:hAnsi="Consolas"/>
          <w:sz w:val="16"/>
        </w:rPr>
        <w:t>dc711088afbccd032f4511b9fe3da95b89640b505edb1868ee7b47c7e2a64682</w:t>
      </w:r>
    </w:p>
    <w:p>
      <w:pPr>
        <w:keepNext/>
        <w:spacing w:after="0"/>
      </w:pPr>
      <w:r>
        <w:rPr>
          <w:sz w:val="18"/>
        </w:rPr>
        <w:t>DPH.UI.DatabaseDictionary.pas</w:t>
      </w:r>
    </w:p>
    <w:p>
      <w:pPr>
        <w:spacing w:after="20"/>
      </w:pPr>
      <w:r>
        <w:rPr>
          <w:rFonts w:ascii="Consolas" w:hAnsi="Consolas"/>
          <w:sz w:val="16"/>
        </w:rPr>
        <w:t>c55bc57ac98df6caa84f29c5b775b4915c8afaf3837859f3e197f8b1fffbf90b</w:t>
      </w:r>
    </w:p>
    <w:p>
      <w:pPr>
        <w:keepNext/>
        <w:spacing w:after="0"/>
      </w:pPr>
      <w:r>
        <w:rPr>
          <w:sz w:val="18"/>
        </w:rPr>
        <w:t>DPH.UI.Glossary.pas</w:t>
      </w:r>
    </w:p>
    <w:p>
      <w:pPr>
        <w:spacing w:after="20"/>
      </w:pPr>
      <w:r>
        <w:rPr>
          <w:rFonts w:ascii="Consolas" w:hAnsi="Consolas"/>
          <w:sz w:val="16"/>
        </w:rPr>
        <w:t>fb15295b29a9bbb9caa05cea723e737c81b2418a271f59fb6071dbffe37f8741</w:t>
      </w:r>
    </w:p>
    <w:p>
      <w:pPr>
        <w:keepNext/>
        <w:spacing w:after="0"/>
      </w:pPr>
      <w:r>
        <w:rPr>
          <w:sz w:val="18"/>
        </w:rPr>
        <w:t>DPH.UI.Main.pas</w:t>
      </w:r>
    </w:p>
    <w:p>
      <w:pPr>
        <w:spacing w:after="20"/>
      </w:pPr>
      <w:r>
        <w:rPr>
          <w:rFonts w:ascii="Consolas" w:hAnsi="Consolas"/>
          <w:sz w:val="16"/>
        </w:rPr>
        <w:t>95803c5ffa1cb7cb42a619ac78bb8cc74766ddda1be32a448b14b2d5e4963c46</w:t>
      </w:r>
    </w:p>
    <w:p>
      <w:pPr>
        <w:keepNext/>
        <w:spacing w:after="0"/>
      </w:pPr>
      <w:r>
        <w:rPr>
          <w:sz w:val="18"/>
        </w:rPr>
        <w:t>DPH.UI.ProjectProfile.pas</w:t>
      </w:r>
    </w:p>
    <w:p>
      <w:pPr>
        <w:spacing w:after="20"/>
      </w:pPr>
      <w:r>
        <w:rPr>
          <w:rFonts w:ascii="Consolas" w:hAnsi="Consolas"/>
          <w:sz w:val="16"/>
        </w:rPr>
        <w:t>f3fe7ed94987e956999e7449887cd8ca259f009b3d4ac934c1e8e09b8e9fab59</w:t>
      </w:r>
    </w:p>
    <w:p>
      <w:pPr>
        <w:keepNext/>
        <w:spacing w:after="0"/>
      </w:pPr>
      <w:r>
        <w:rPr>
          <w:sz w:val="18"/>
        </w:rPr>
        <w:t>DPH.Workspace.ActionPurposes.pas</w:t>
      </w:r>
    </w:p>
    <w:p>
      <w:pPr>
        <w:spacing w:after="20"/>
      </w:pPr>
      <w:r>
        <w:rPr>
          <w:rFonts w:ascii="Consolas" w:hAnsi="Consolas"/>
          <w:sz w:val="16"/>
        </w:rPr>
        <w:t>e720b935f3d9f38f07348bead5f21c9c9e3ec89ad102f4dae0c6e902c0a101e4</w:t>
      </w:r>
    </w:p>
    <w:p>
      <w:pPr>
        <w:keepNext/>
        <w:spacing w:after="0"/>
      </w:pPr>
      <w:r>
        <w:rPr>
          <w:sz w:val="18"/>
        </w:rPr>
        <w:t>DPH.Workspace.Catalog.pas</w:t>
      </w:r>
    </w:p>
    <w:p>
      <w:pPr>
        <w:spacing w:after="20"/>
      </w:pPr>
      <w:r>
        <w:rPr>
          <w:rFonts w:ascii="Consolas" w:hAnsi="Consolas"/>
          <w:sz w:val="16"/>
        </w:rPr>
        <w:t>5fed34d1919dfd5b34216be36f92fc1764847a65d62112613b2a0e1d44a05940</w:t>
      </w:r>
    </w:p>
    <w:p>
      <w:pPr>
        <w:keepNext/>
        <w:spacing w:after="0"/>
      </w:pPr>
      <w:r>
        <w:rPr>
          <w:sz w:val="18"/>
        </w:rPr>
        <w:t>DPH.Workspace.Commands.pas</w:t>
      </w:r>
    </w:p>
    <w:p>
      <w:pPr>
        <w:spacing w:after="20"/>
      </w:pPr>
      <w:r>
        <w:rPr>
          <w:rFonts w:ascii="Consolas" w:hAnsi="Consolas"/>
          <w:sz w:val="16"/>
        </w:rPr>
        <w:t>9d737351356cf30b1f5bd6d2dee5c514bcafe16c6fcafe24be82b2f06c1a3d28</w:t>
      </w:r>
    </w:p>
    <w:p>
      <w:pPr>
        <w:keepNext/>
        <w:spacing w:after="0"/>
      </w:pPr>
      <w:r>
        <w:rPr>
          <w:sz w:val="18"/>
        </w:rPr>
        <w:t>DPH.Workspace.Comparison.pas</w:t>
      </w:r>
    </w:p>
    <w:p>
      <w:pPr>
        <w:spacing w:after="20"/>
      </w:pPr>
      <w:r>
        <w:rPr>
          <w:rFonts w:ascii="Consolas" w:hAnsi="Consolas"/>
          <w:sz w:val="16"/>
        </w:rPr>
        <w:t>d4953d401b70fbe65b8b9b9fe387431cb7e2c84afc5dab5c9170deafe9ceacce</w:t>
      </w:r>
    </w:p>
    <w:p>
      <w:pPr>
        <w:keepNext/>
        <w:spacing w:after="0"/>
      </w:pPr>
      <w:r>
        <w:rPr>
          <w:sz w:val="18"/>
        </w:rPr>
        <w:t>DPH.Workspace.ComponentDependencies.pas</w:t>
      </w:r>
    </w:p>
    <w:p>
      <w:pPr>
        <w:spacing w:after="20"/>
      </w:pPr>
      <w:r>
        <w:rPr>
          <w:rFonts w:ascii="Consolas" w:hAnsi="Consolas"/>
          <w:sz w:val="16"/>
        </w:rPr>
        <w:t>7d57eb7884d6e521414379a24ce9e64aa2816beca6de650b86828a16fc33af2b</w:t>
      </w:r>
    </w:p>
    <w:p>
      <w:pPr>
        <w:keepNext/>
        <w:spacing w:after="0"/>
      </w:pPr>
      <w:r>
        <w:rPr>
          <w:sz w:val="18"/>
        </w:rPr>
        <w:t>DPH.Workspace.DatabaseConnections.pas</w:t>
      </w:r>
    </w:p>
    <w:p>
      <w:pPr>
        <w:spacing w:after="20"/>
      </w:pPr>
      <w:r>
        <w:rPr>
          <w:rFonts w:ascii="Consolas" w:hAnsi="Consolas"/>
          <w:sz w:val="16"/>
        </w:rPr>
        <w:t>37fecd28b258661a57eb1ff955a2bf1f22757508b3925b98daedc0d6b789e1ce</w:t>
      </w:r>
    </w:p>
    <w:p>
      <w:pPr>
        <w:keepNext/>
        <w:spacing w:after="0"/>
      </w:pPr>
      <w:r>
        <w:rPr>
          <w:sz w:val="18"/>
        </w:rPr>
        <w:t>DPH.Workspace.DatabaseSchema.pas</w:t>
      </w:r>
    </w:p>
    <w:p>
      <w:pPr>
        <w:spacing w:after="20"/>
      </w:pPr>
      <w:r>
        <w:rPr>
          <w:rFonts w:ascii="Consolas" w:hAnsi="Consolas"/>
          <w:sz w:val="16"/>
        </w:rPr>
        <w:t>988548013d7465e7a95b4b1729c0fec5938f5d866afda932bfeab22639160bda</w:t>
      </w:r>
    </w:p>
    <w:p>
      <w:pPr>
        <w:keepNext/>
        <w:spacing w:after="0"/>
      </w:pPr>
      <w:r>
        <w:rPr>
          <w:sz w:val="18"/>
        </w:rPr>
        <w:t>DPH.Workspace.DynamicControls.pas</w:t>
      </w:r>
    </w:p>
    <w:p>
      <w:pPr>
        <w:spacing w:after="20"/>
      </w:pPr>
      <w:r>
        <w:rPr>
          <w:rFonts w:ascii="Consolas" w:hAnsi="Consolas"/>
          <w:sz w:val="16"/>
        </w:rPr>
        <w:t>abd5350eab05058b885b95e0c947a1badd54eba33877cbe9a448cac194db25ed</w:t>
      </w:r>
    </w:p>
    <w:p>
      <w:pPr>
        <w:keepNext/>
        <w:spacing w:after="0"/>
      </w:pPr>
      <w:r>
        <w:rPr>
          <w:sz w:val="18"/>
        </w:rPr>
        <w:t>DPH.Workspace.FormInheritance.pas</w:t>
      </w:r>
    </w:p>
    <w:p>
      <w:pPr>
        <w:spacing w:after="20"/>
      </w:pPr>
      <w:r>
        <w:rPr>
          <w:rFonts w:ascii="Consolas" w:hAnsi="Consolas"/>
          <w:sz w:val="16"/>
        </w:rPr>
        <w:t>b771383670720f9503454dc17f7d5e72ddd986a642fc526bc6aeeab6122129f8</w:t>
      </w:r>
    </w:p>
    <w:p>
      <w:pPr>
        <w:keepNext/>
        <w:spacing w:after="0"/>
      </w:pPr>
      <w:r>
        <w:rPr>
          <w:sz w:val="18"/>
        </w:rPr>
        <w:t>DPH.Workspace.Graphs.pas</w:t>
      </w:r>
    </w:p>
    <w:p>
      <w:pPr>
        <w:spacing w:after="20"/>
      </w:pPr>
      <w:r>
        <w:rPr>
          <w:rFonts w:ascii="Consolas" w:hAnsi="Consolas"/>
          <w:sz w:val="16"/>
        </w:rPr>
        <w:t>6fd8b84644df65a0746aaad3598dad9406fa2d55e637e1e30f2175cefd1be911</w:t>
      </w:r>
    </w:p>
    <w:p>
      <w:pPr>
        <w:keepNext/>
        <w:spacing w:after="0"/>
      </w:pPr>
      <w:r>
        <w:rPr>
          <w:sz w:val="18"/>
        </w:rPr>
        <w:t>DPH.Workspace.Keyboard.pas</w:t>
      </w:r>
    </w:p>
    <w:p>
      <w:pPr>
        <w:spacing w:after="20"/>
      </w:pPr>
      <w:r>
        <w:rPr>
          <w:rFonts w:ascii="Consolas" w:hAnsi="Consolas"/>
          <w:sz w:val="16"/>
        </w:rPr>
        <w:t>6e854d724e8360e3d5015d63077744636cf88f33eed5c9fcff175ef01e0f9923</w:t>
      </w:r>
    </w:p>
    <w:p>
      <w:pPr>
        <w:keepNext/>
        <w:spacing w:after="0"/>
      </w:pPr>
      <w:r>
        <w:rPr>
          <w:sz w:val="18"/>
        </w:rPr>
        <w:t>DPH.Workspace.LayoutRules.pas</w:t>
      </w:r>
    </w:p>
    <w:p>
      <w:pPr>
        <w:spacing w:after="20"/>
      </w:pPr>
      <w:r>
        <w:rPr>
          <w:rFonts w:ascii="Consolas" w:hAnsi="Consolas"/>
          <w:sz w:val="16"/>
        </w:rPr>
        <w:t>02dcd1a040fc209a557281fe8150bd40a59291a18a08fa48d5e07065dbac1c49</w:t>
      </w:r>
    </w:p>
    <w:p>
      <w:pPr>
        <w:keepNext/>
        <w:spacing w:after="0"/>
      </w:pPr>
      <w:r>
        <w:rPr>
          <w:sz w:val="18"/>
        </w:rPr>
        <w:t>DPH.Workspace.Model.pas</w:t>
      </w:r>
    </w:p>
    <w:p>
      <w:pPr>
        <w:spacing w:after="20"/>
      </w:pPr>
      <w:r>
        <w:rPr>
          <w:rFonts w:ascii="Consolas" w:hAnsi="Consolas"/>
          <w:sz w:val="16"/>
        </w:rPr>
        <w:t>e53b536fb48bc324aff44773dc77e56dfd79298323d294f938586e729e50dc79</w:t>
      </w:r>
    </w:p>
    <w:p>
      <w:pPr>
        <w:keepNext/>
        <w:spacing w:after="0"/>
      </w:pPr>
      <w:r>
        <w:rPr>
          <w:sz w:val="18"/>
        </w:rPr>
        <w:t>DPH.Workspace.Screen.pas</w:t>
      </w:r>
    </w:p>
    <w:p>
      <w:pPr>
        <w:spacing w:after="20"/>
      </w:pPr>
      <w:r>
        <w:rPr>
          <w:rFonts w:ascii="Consolas" w:hAnsi="Consolas"/>
          <w:sz w:val="16"/>
        </w:rPr>
        <w:t>68305e6ec36664e76d05b8c9af21416dd51a32116d47ea55156977b4c10855de</w:t>
      </w:r>
    </w:p>
    <w:p>
      <w:pPr>
        <w:keepNext/>
        <w:spacing w:after="0"/>
      </w:pPr>
      <w:r>
        <w:rPr>
          <w:sz w:val="18"/>
        </w:rPr>
        <w:t>DPH.Workspace.ScreenHistory.pas</w:t>
      </w:r>
    </w:p>
    <w:p>
      <w:pPr>
        <w:spacing w:after="20"/>
      </w:pPr>
      <w:r>
        <w:rPr>
          <w:rFonts w:ascii="Consolas" w:hAnsi="Consolas"/>
          <w:sz w:val="16"/>
        </w:rPr>
        <w:t>bd05a76dcae7b4c872345021a56eab0b8b0108d954c1a5c35686321852082161</w:t>
      </w:r>
    </w:p>
    <w:p>
      <w:pPr>
        <w:keepNext/>
        <w:spacing w:after="0"/>
      </w:pPr>
      <w:r>
        <w:rPr>
          <w:sz w:val="18"/>
        </w:rPr>
        <w:t>DPH.Workspace.Worker.pas</w:t>
      </w:r>
    </w:p>
    <w:p>
      <w:pPr>
        <w:spacing w:after="20"/>
      </w:pPr>
      <w:r>
        <w:rPr>
          <w:rFonts w:ascii="Consolas" w:hAnsi="Consolas"/>
          <w:sz w:val="16"/>
        </w:rPr>
        <w:t>110d8d7326f50b3a12a99f30ed3adac1aabf3d408c62c2ce52478a6e19bca4fc</w:t>
      </w:r>
    </w:p>
    <w:p>
      <w:pPr>
        <w:keepNext/>
        <w:spacing w:after="0"/>
      </w:pPr>
      <w:r>
        <w:rPr>
          <w:sz w:val="18"/>
        </w:rPr>
        <w:t>DPH.UI.Main.fmx</w:t>
      </w:r>
    </w:p>
    <w:p>
      <w:pPr>
        <w:spacing w:after="20"/>
      </w:pPr>
      <w:r>
        <w:rPr>
          <w:rFonts w:ascii="Consolas" w:hAnsi="Consolas"/>
          <w:sz w:val="16"/>
        </w:rPr>
        <w:t>ec537909d3115a294a09d0bf2efc4b2af06e75d806aff2edfb07da72c95b89c6</w:t>
      </w:r>
    </w:p>
    <w:p>
      <w:pPr>
        <w:keepNext/>
        <w:spacing w:after="0"/>
      </w:pPr>
      <w:r>
        <w:rPr>
          <w:sz w:val="18"/>
        </w:rPr>
        <w:t>DPH.UI.ProjectProfile.fmx</w:t>
      </w:r>
    </w:p>
    <w:p>
      <w:pPr>
        <w:spacing w:after="20"/>
      </w:pPr>
      <w:r>
        <w:rPr>
          <w:rFonts w:ascii="Consolas" w:hAnsi="Consolas"/>
          <w:sz w:val="16"/>
        </w:rPr>
        <w:t>62e7fef97972fdb29f1a878e70a99d8284b6f7d8cfbddb9f625bb535728c2142</w:t>
      </w:r>
    </w:p>
    <w:p>
      <w:pPr>
        <w:keepNext/>
        <w:spacing w:after="0"/>
      </w:pPr>
      <w:r>
        <w:rPr>
          <w:sz w:val="18"/>
        </w:rPr>
        <w:t>DPH.UI.Glossary.fmx</w:t>
      </w:r>
    </w:p>
    <w:p>
      <w:pPr>
        <w:spacing w:after="20"/>
      </w:pPr>
      <w:r>
        <w:rPr>
          <w:rFonts w:ascii="Consolas" w:hAnsi="Consolas"/>
          <w:sz w:val="16"/>
        </w:rPr>
        <w:t>3334c41ac643daa3596f1a5c9cb8fb65c3447daf77cf00006d6a0ca7a9d517d5</w:t>
      </w:r>
    </w:p>
    <w:p>
      <w:pPr>
        <w:keepNext/>
        <w:spacing w:after="0"/>
      </w:pPr>
      <w:r>
        <w:rPr>
          <w:sz w:val="18"/>
        </w:rPr>
        <w:t>DPH.UI.ComponentDependency.fmx</w:t>
      </w:r>
    </w:p>
    <w:p>
      <w:pPr>
        <w:spacing w:after="20"/>
      </w:pPr>
      <w:r>
        <w:rPr>
          <w:rFonts w:ascii="Consolas" w:hAnsi="Consolas"/>
          <w:sz w:val="16"/>
        </w:rPr>
        <w:t>3b604fcf033e37ebda4aa6968e1a9e6ffe11bf40416fac5fbdd39fa2599d7862</w:t>
      </w:r>
    </w:p>
    <w:p>
      <w:pPr>
        <w:keepNext/>
        <w:spacing w:after="0"/>
      </w:pPr>
      <w:r>
        <w:rPr>
          <w:sz w:val="18"/>
        </w:rPr>
        <w:t>DPH.UI.ActionPurpose.fmx</w:t>
      </w:r>
    </w:p>
    <w:p>
      <w:pPr>
        <w:spacing w:after="20"/>
      </w:pPr>
      <w:r>
        <w:rPr>
          <w:rFonts w:ascii="Consolas" w:hAnsi="Consolas"/>
          <w:sz w:val="16"/>
        </w:rPr>
        <w:t>9eb57da0310277432db54c9a80d8d03be09aa6163acd8895f04fa21f176f8e15</w:t>
      </w:r>
    </w:p>
    <w:p>
      <w:pPr>
        <w:keepNext/>
        <w:spacing w:after="0"/>
      </w:pPr>
      <w:r>
        <w:rPr>
          <w:sz w:val="18"/>
        </w:rPr>
        <w:t>DPH.UI.DatabaseDictionary.fmx</w:t>
      </w:r>
    </w:p>
    <w:p>
      <w:pPr>
        <w:spacing w:after="20"/>
      </w:pPr>
      <w:r>
        <w:rPr>
          <w:rFonts w:ascii="Consolas" w:hAnsi="Consolas"/>
          <w:sz w:val="16"/>
        </w:rPr>
        <w:t>5b40f12073d093c4e0b7f708440dd125662dc8e76a0b3c3bf30a4c749c69484e</w:t>
      </w:r>
    </w:p>
    <w:p>
      <w:pPr>
        <w:keepNext/>
        <w:spacing w:after="0"/>
      </w:pPr>
      <w:r>
        <w:rPr>
          <w:sz w:val="18"/>
        </w:rPr>
        <w:t>DelphiProjectHandoff.dpr</w:t>
      </w:r>
    </w:p>
    <w:p>
      <w:pPr>
        <w:spacing w:after="20"/>
      </w:pPr>
      <w:r>
        <w:rPr>
          <w:rFonts w:ascii="Consolas" w:hAnsi="Consolas"/>
          <w:sz w:val="16"/>
        </w:rPr>
        <w:t>2b922d5561c2ab3e2b65590583f646e29fc12c8b5c36a08fe401a6ebed90d3f9</w:t>
      </w:r>
    </w:p>
    <w:p>
      <w:pPr>
        <w:keepNext/>
        <w:spacing w:after="0"/>
      </w:pPr>
      <w:r>
        <w:rPr>
          <w:sz w:val="18"/>
        </w:rPr>
        <w:t>DelphiProjectHandoff.dproj</w:t>
      </w:r>
    </w:p>
    <w:p>
      <w:pPr>
        <w:spacing w:after="20"/>
      </w:pPr>
      <w:r>
        <w:rPr>
          <w:rFonts w:ascii="Consolas" w:hAnsi="Consolas"/>
          <w:sz w:val="16"/>
        </w:rPr>
        <w:t>fc131b87384bc80f6d391db9c015b7aaa41c098ff8b96d53abfcdb67ced18e8d</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