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0.8.0.10  |  Guide edition 58</w:t>
      </w:r>
    </w:p>
    <w:p>
      <w:r>
        <w:t>Last changed 17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18</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23</w:t>
      </w:r>
    </w:p>
    <w:p>
      <w:pPr>
        <w:pStyle w:val="TOC2"/>
        <w:tabs>
          <w:tab w:val="right" w:leader="dot" w:pos="9360"/>
        </w:tabs>
      </w:pPr>
      <w:r>
        <w:t>18. Publication model and export contract</w:t>
      </w:r>
      <w:r>
        <w:tab/>
        <w:t>23</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27</w:t>
      </w:r>
    </w:p>
    <w:p>
      <w:pPr>
        <w:pStyle w:val="TOC2"/>
        <w:tabs>
          <w:tab w:val="right" w:leader="dot" w:pos="9360"/>
        </w:tabs>
      </w:pPr>
      <w:r>
        <w:t>22. Package, deploy, and verify extracted copies</w:t>
      </w:r>
      <w:r>
        <w:tab/>
        <w:t>28</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31</w:t>
      </w:r>
    </w:p>
    <w:p>
      <w:pPr>
        <w:pStyle w:val="TOC1"/>
        <w:tabs>
          <w:tab w:val="right" w:leader="dot" w:pos="9360"/>
        </w:tabs>
      </w:pPr>
      <w:r>
        <w:t>PART 6: Technical reference</w:t>
      </w:r>
      <w:r>
        <w:tab/>
        <w:t>32</w:t>
      </w:r>
    </w:p>
    <w:p>
      <w:pPr>
        <w:pStyle w:val="TOC2"/>
        <w:tabs>
          <w:tab w:val="right" w:leader="dot" w:pos="9360"/>
        </w:tabs>
      </w:pPr>
      <w:r>
        <w:t>25. Source units and public contracts</w:t>
      </w:r>
      <w:r>
        <w:tab/>
        <w:t>32</w:t>
      </w:r>
    </w:p>
    <w:p>
      <w:pPr>
        <w:pStyle w:val="TOC2"/>
        <w:tabs>
          <w:tab w:val="right" w:leader="dot" w:pos="9360"/>
        </w:tabs>
      </w:pPr>
      <w:r>
        <w:t>26. Persisted schema and migration reference</w:t>
      </w:r>
      <w:r>
        <w:tab/>
        <w:t>51</w:t>
      </w:r>
    </w:p>
    <w:p>
      <w:pPr>
        <w:pStyle w:val="TOC2"/>
        <w:tabs>
          <w:tab w:val="right" w:leader="dot" w:pos="9360"/>
        </w:tabs>
      </w:pPr>
      <w:r>
        <w:t>27. Engineering change and release checklists</w:t>
      </w:r>
      <w:r>
        <w:tab/>
        <w:t>59</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Save project lets the user create a permanent .dphdb at any time; closing or changing projects still offers Save, Discard, and Cancel while the capture remains temporary.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reads a selected project's root README and named guides, documents directly under docs, and documents under docs/guides, docs/pdf, and docs/notes. It does not descend into separate release, help, or archive directories; its limited image traversal is separate. It excludes unrelated root instructions and filters explicitly versioned document names when the root README identifies the current major version. An older saved document list is cleared before display when the discovery version changes, then rebuilt from the selected project.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Eligible public HTTPS pages from the selected project's sitemap.txt or documents may be contacted only when Read public websites is enabled; successfully fetched text is shown in the Learning library.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r>
        <w:t>The IDE-editable DPHProgressForm is a separate centered FMX window with a message, a time expectation, a progress bar, and a numeric percentage while the worker runs. The main form retains the preparation state controls and synchronizes them to the window on each worker response. TDPHSemanticPersistence.Stage reports completed symbol, relationship, and flow records to TDPHWorkspaceWorker, which carries percentages in TDPHWorkspaceResponse. TDPHUI.Main updates the serialized label and bar when responses arrive. The storage writer caches the active generation check and file-revision lookup only inside a fact transaction, then clears that state at commit or rollback; never reuse those cached facts across generations. A fresh v7 test capture on 16 October 2026 finished in 66.6 seconds with 24 local documents and three public pages; timing depends on hardware and selected content.</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r>
        <w:t>The IDE-editable Rescan project button sends an incremental worker request for the attached entry and current selection. The worker compares the manifest, analyzer versions and selection hash, reuses unchanged findings, and rebuilds changed analysis. The centered progress form remains visible during the request. Rescan is disabled for detached captures and while work is in progress.</w:t>
      </w:r>
    </w:p>
    <w:p>
      <w:r>
        <w:t>The publication model copies the selected .dproj path properties DCC_UnitSearchPath, DCC_IncludePath, DCC_ResourcePath, DCC_Namespace, DCC_UnitOutputDir and DCC_ExeOutput into project_build_paths with source lines. The dossier derives a relative directory map from captured files. These are source declarations, not proof that Delphi IDE global Library or Browsing paths, vendor packages or client libraries are installed on another machine. A maintainer must confirm those external prerequisites.</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includes the main screen with its initial tab and separates each saved TTabItem into its own design preview. It places a client-aligned panel below earlier top-aligned siblings and respects saved margins and padding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at Custom zoom with ScreenshotZoom set to 90 percent; Fit and Native pixels remain available.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The overview also links to Component dependencies, where serialized controls, captured class candidates and package references are qualified without guessing vendor or version. Data and operations links to Database connections and schema, shows starter FireDAC connection templates for InterBase, SQL Server and SQLite without real credentials, and lists captured unit-level variables. A declaration is not a measured runtime value or a successful connection. DAT's HTML translator now requires an exact translation for each prose node; it leaves an unmatched node whole instead of replacing isolated words. The Getting started page supplies complete German prose and coherent English fallback for other locales until reviewed full-page translations exist.</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0.8.0.10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0.8.0.10.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 AIndexFacts: Boolean = True);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AProgress: TProc&lt;Integer,Integer&gt; = nil):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SaveProjectClick(Sender: TObject);</w:t>
      </w:r>
    </w:p>
    <w:p>
      <w:pPr>
        <w:spacing w:after="40" w:line="247" w:lineRule="auto"/>
      </w:pPr>
      <w:r>
        <w:rPr>
          <w:rFonts w:ascii="Consolas" w:hAnsi="Consolas"/>
          <w:sz w:val="18"/>
        </w:rPr>
        <w:t>procedure RescanProjectClick(Sender: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UI.Progress</w:t>
      </w:r>
    </w:p>
    <w:p>
      <w:r>
        <w:t>Source file: DPH.UI.Progress.pas. Defines the IDE-editable centered preparation window. The main form updates its stage message, progress bar and percentage from worker responses.</w:t>
      </w:r>
    </w:p>
    <w:p>
      <w:r>
        <w:t>Principal public types: TDPHProgressForm.</w:t>
      </w:r>
    </w:p>
    <w:p>
      <w:r>
        <w:t>This unit exposes shared data types/constants; inspect its declarations for the exact fields and current version values.</w:t>
      </w:r>
    </w:p>
    <w:p>
      <w:pPr>
        <w:pStyle w:val="Heading3"/>
      </w:pPr>
      <w:r>
        <w:t>25.39.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25.40.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25.41.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25.42.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25.43.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25.44.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25.45.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25.46.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25.47.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25.48.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25.49.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25.50.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25.51.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25.52.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25.53.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25.54.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25.55.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58  |  17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