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Guide edition 45</w:t>
      </w:r>
    </w:p>
    <w:p>
      <w:r>
        <w:t>Last changed 14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10</w:t>
      </w:r>
    </w:p>
    <w:p>
      <w:pPr>
        <w:pStyle w:val="TOC2"/>
        <w:tabs>
          <w:tab w:val="right" w:leader="dot" w:pos="9360"/>
        </w:tabs>
      </w:pPr>
      <w:r>
        <w:t>7. Source bytes, ranges, and safe acquisition</w:t>
      </w:r>
      <w:r>
        <w:tab/>
        <w:t>10</w:t>
      </w:r>
    </w:p>
    <w:p>
      <w:pPr>
        <w:pStyle w:val="TOC2"/>
        <w:tabs>
          <w:tab w:val="right" w:leader="dot" w:pos="9360"/>
        </w:tabs>
      </w:pPr>
      <w:r>
        <w:t>8. Project inventory and reading configuration</w:t>
      </w:r>
      <w:r>
        <w:tab/>
        <w:t>11</w:t>
      </w:r>
    </w:p>
    <w:p>
      <w:pPr>
        <w:pStyle w:val="TOC2"/>
        <w:tabs>
          <w:tab w:val="right" w:leader="dot" w:pos="9360"/>
        </w:tabs>
      </w:pPr>
      <w:r>
        <w:t>9. Lexer, preprocessing, and intermediate representation</w:t>
      </w:r>
      <w:r>
        <w:tab/>
        <w:t>12</w:t>
      </w:r>
    </w:p>
    <w:p>
      <w:pPr>
        <w:pStyle w:val="TOC2"/>
        <w:tabs>
          <w:tab w:val="right" w:leader="dot" w:pos="9360"/>
        </w:tabs>
      </w:pPr>
      <w:r>
        <w:t>10. Pascal, forms, and resource parsing</w:t>
      </w:r>
      <w:r>
        <w:tab/>
        <w:t>12</w:t>
      </w:r>
    </w:p>
    <w:p>
      <w:pPr>
        <w:pStyle w:val="TOC2"/>
        <w:tabs>
          <w:tab w:val="right" w:leader="dot" w:pos="9360"/>
        </w:tabs>
      </w:pPr>
      <w:r>
        <w:t>11. Symbols, resolution, control flow, and focused analyses</w:t>
      </w:r>
      <w:r>
        <w:tab/>
        <w:t>13</w:t>
      </w:r>
    </w:p>
    <w:p>
      <w:pPr>
        <w:pStyle w:val="TOC1"/>
        <w:tabs>
          <w:tab w:val="right" w:leader="dot" w:pos="9360"/>
        </w:tabs>
      </w:pPr>
      <w:r>
        <w:t>PART 3: Persistence, authored knowledge, and native presentation</w:t>
      </w:r>
      <w:r>
        <w:tab/>
        <w:t>15</w:t>
      </w:r>
    </w:p>
    <w:p>
      <w:pPr>
        <w:pStyle w:val="TOC2"/>
        <w:tabs>
          <w:tab w:val="right" w:leader="dot" w:pos="9360"/>
        </w:tabs>
      </w:pPr>
      <w:r>
        <w:t>12. SQLite store ownership, migrations, and transactions</w:t>
      </w:r>
      <w:r>
        <w:tab/>
        <w:t>15</w:t>
      </w:r>
    </w:p>
    <w:p>
      <w:pPr>
        <w:pStyle w:val="TOC2"/>
        <w:tabs>
          <w:tab w:val="right" w:leader="dot" w:pos="9360"/>
        </w:tabs>
      </w:pPr>
      <w:r>
        <w:t>13. Generations, source identity, and cached views</w:t>
      </w:r>
      <w:r>
        <w:tab/>
        <w:t>16</w:t>
      </w:r>
    </w:p>
    <w:p>
      <w:pPr>
        <w:pStyle w:val="TOC2"/>
        <w:tabs>
          <w:tab w:val="right" w:leader="dot" w:pos="9360"/>
        </w:tabs>
      </w:pPr>
      <w:r>
        <w:t>14. Authored revisions, links, and review state</w:t>
      </w:r>
      <w:r>
        <w:tab/>
        <w:t>17</w:t>
      </w:r>
    </w:p>
    <w:p>
      <w:pPr>
        <w:pStyle w:val="TOC2"/>
        <w:tabs>
          <w:tab w:val="right" w:leader="dot" w:pos="9360"/>
        </w:tabs>
      </w:pPr>
      <w:r>
        <w:t>15. Structured tasks, teaching cards, and personal progress</w:t>
      </w:r>
      <w:r>
        <w:tab/>
        <w:t>18</w:t>
      </w:r>
    </w:p>
    <w:p>
      <w:pPr>
        <w:pStyle w:val="TOC2"/>
        <w:tabs>
          <w:tab w:val="right" w:leader="dot" w:pos="9360"/>
        </w:tabs>
      </w:pPr>
      <w:r>
        <w:t>16. Pictures, artifacts, and anchored callouts</w:t>
      </w:r>
      <w:r>
        <w:tab/>
        <w:t>20</w:t>
      </w:r>
    </w:p>
    <w:p>
      <w:pPr>
        <w:pStyle w:val="TOC2"/>
        <w:tabs>
          <w:tab w:val="right" w:leader="dot" w:pos="9360"/>
        </w:tabs>
      </w:pPr>
      <w:r>
        <w:t>17. Learner projections and native binding</w:t>
      </w:r>
      <w:r>
        <w:tab/>
        <w:t>21</w:t>
      </w:r>
    </w:p>
    <w:p>
      <w:pPr>
        <w:pStyle w:val="TOC1"/>
        <w:tabs>
          <w:tab w:val="right" w:leader="dot" w:pos="9360"/>
        </w:tabs>
      </w:pPr>
      <w:r>
        <w:t>PART 4: Publication, search, and operational safety</w:t>
      </w:r>
      <w:r>
        <w:tab/>
        <w:t>22</w:t>
      </w:r>
    </w:p>
    <w:p>
      <w:pPr>
        <w:pStyle w:val="TOC2"/>
        <w:tabs>
          <w:tab w:val="right" w:leader="dot" w:pos="9360"/>
        </w:tabs>
      </w:pPr>
      <w:r>
        <w:t>18. Publication model and export contract</w:t>
      </w:r>
      <w:r>
        <w:tab/>
        <w:t>22</w:t>
      </w:r>
    </w:p>
    <w:p>
      <w:pPr>
        <w:pStyle w:val="TOC2"/>
        <w:tabs>
          <w:tab w:val="right" w:leader="dot" w:pos="9360"/>
        </w:tabs>
      </w:pPr>
      <w:r>
        <w:t>19. Search, browser navigation, and supporting integrations</w:t>
      </w:r>
      <w:r>
        <w:tab/>
        <w:t>23</w:t>
      </w:r>
    </w:p>
    <w:p>
      <w:pPr>
        <w:pStyle w:val="TOC1"/>
        <w:tabs>
          <w:tab w:val="right" w:leader="dot" w:pos="9360"/>
        </w:tabs>
      </w:pPr>
      <w:r>
        <w:t>PART 5: Building, testing, diagnosis, and release</w:t>
      </w:r>
      <w:r>
        <w:tab/>
        <w:t>24</w:t>
      </w:r>
    </w:p>
    <w:p>
      <w:pPr>
        <w:pStyle w:val="TOC2"/>
        <w:tabs>
          <w:tab w:val="right" w:leader="dot" w:pos="9360"/>
        </w:tabs>
      </w:pPr>
      <w:r>
        <w:t>20. Build environment and source layout</w:t>
      </w:r>
      <w:r>
        <w:tab/>
        <w:t>24</w:t>
      </w:r>
    </w:p>
    <w:p>
      <w:pPr>
        <w:pStyle w:val="TOC2"/>
        <w:tabs>
          <w:tab w:val="right" w:leader="dot" w:pos="9360"/>
        </w:tabs>
      </w:pPr>
      <w:r>
        <w:t>21. Meaningful test selection and execution</w:t>
      </w:r>
      <w:r>
        <w:tab/>
        <w:t>26</w:t>
      </w:r>
    </w:p>
    <w:p>
      <w:pPr>
        <w:pStyle w:val="TOC2"/>
        <w:tabs>
          <w:tab w:val="right" w:leader="dot" w:pos="9360"/>
        </w:tabs>
      </w:pPr>
      <w:r>
        <w:t>22. Package, deploy, and verify extracted copies</w:t>
      </w:r>
      <w:r>
        <w:tab/>
        <w:t>27</w:t>
      </w:r>
    </w:p>
    <w:p>
      <w:pPr>
        <w:pStyle w:val="TOC2"/>
        <w:tabs>
          <w:tab w:val="right" w:leader="dot" w:pos="9360"/>
        </w:tabs>
      </w:pPr>
      <w:r>
        <w:t>23. Diagnose failures at their owning layer</w:t>
      </w:r>
      <w:r>
        <w:tab/>
        <w:t>28</w:t>
      </w:r>
    </w:p>
    <w:p>
      <w:pPr>
        <w:pStyle w:val="TOC2"/>
        <w:tabs>
          <w:tab w:val="right" w:leader="dot" w:pos="9360"/>
        </w:tabs>
      </w:pPr>
      <w:r>
        <w:t>24. Maintain documentation as an engineering artifact</w:t>
      </w:r>
      <w:r>
        <w:tab/>
        <w:t>29</w:t>
      </w:r>
    </w:p>
    <w:p>
      <w:pPr>
        <w:pStyle w:val="TOC1"/>
        <w:tabs>
          <w:tab w:val="right" w:leader="dot" w:pos="9360"/>
        </w:tabs>
      </w:pPr>
      <w:r>
        <w:t>PART 6: Technical reference</w:t>
      </w:r>
      <w:r>
        <w:tab/>
        <w:t>31</w:t>
      </w:r>
    </w:p>
    <w:p>
      <w:pPr>
        <w:pStyle w:val="TOC2"/>
        <w:tabs>
          <w:tab w:val="right" w:leader="dot" w:pos="9360"/>
        </w:tabs>
      </w:pPr>
      <w:r>
        <w:t>25. Source units and public contracts</w:t>
      </w:r>
      <w:r>
        <w:tab/>
        <w:t>31</w:t>
      </w:r>
    </w:p>
    <w:p>
      <w:pPr>
        <w:pStyle w:val="TOC2"/>
        <w:tabs>
          <w:tab w:val="right" w:leader="dot" w:pos="9360"/>
        </w:tabs>
      </w:pPr>
      <w:r>
        <w:t>26. Persisted schema and migration reference</w:t>
      </w:r>
      <w:r>
        <w:tab/>
        <w:t>49</w:t>
      </w:r>
    </w:p>
    <w:p>
      <w:pPr>
        <w:pStyle w:val="TOC2"/>
        <w:tabs>
          <w:tab w:val="right" w:leader="dot" w:pos="9360"/>
        </w:tabs>
      </w:pPr>
      <w:r>
        <w:t>27. Engineering change and release checklists</w:t>
      </w:r>
      <w:r>
        <w:tab/>
        <w:t>57</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help a beginner understand one unfamiliar Delphi application. It reads project, source and form material; persists captured facts and attributed knowledge; presents understandable learning routes;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learner workflow has six tabs: Getting started, Learn the project, Learning library, Project map, Screenshots, and Application diagrams. Open application starts a source capture; Open saved project restores a .dphdb and its adjacent .views folder.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scans eligible documents only within the selected project directory. It bounds traversal and samples documents and logs before building Learning library entries.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Referenced public HTTPS pages may be contacted when Internet access is available, so release directions must disclose that optional network behavior.</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learner route is then rendered from that captured view and current knowledge. A failure before publication must leave the earlier published head available.</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It should not perform every expensive optional report merely because the form has serialized tabs for them. Build deeper projections on demand for their active destination.</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native preview opens learning.html, the same learner route recipients should begin with. A consistent technical index does not establish human instructional quality. Test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Fit, native-pixel and custom zoom modes change the display transform.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Beginner explanation model</w:t>
      </w:r>
    </w:p>
    <w:p>
      <w:r>
        <w:t>TDPHExplanationModel.ApplicationRouteHTML generates four primary pages for the selected application: Meet this app, Learn a real task, Explore related tasks and Resolve unknowns. It combines source-derived forms and action links with that application's attributed profile, structured tasks, teaching cards and open author questions. Its task order uses saved learning order, then path and title. Absent instructions remain explicit gaps; an event binding alone is never presented as a verified task. The older generic LessonHTML topics remain supporting code, not the main learner route.</w:t>
      </w:r>
    </w:p>
    <w:p>
      <w:r>
        <w:t>ObjectLessonHTML introduces role and relevant purpose, actual conditions and bounded next connections, then keeps the deeper code walkthrough optional. ObjectText provides a native text route from the same explanatory model. The renderer must not turn an unlinked application-wide note into every object's purpose. It must exclude rejected or retired content and preserve unresolved questions. The native list of four routes is serialized in DPH.UI.Main.fmx so ordinary labels remain IDE-editable.</w:t>
      </w:r>
    </w:p>
    <w:p>
      <w:pPr>
        <w:pStyle w:val="Heading3"/>
      </w:pPr>
      <w:r>
        <w:t>17.3. Lazy optional reports</w:t>
      </w:r>
    </w:p>
    <w:p>
      <w:r>
        <w:t>WorkspacePageChange chooses the active projection. Report generation for hidden specialist tabs should not delay opening the ordinary learner route. Refresh routines must distinguish loading the base view from building graphs, quality reports or screen-history comparisons on demand.</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learning.html presents the selected application's four-part learner route, authored tasks, examples, questions, terms and supplied images. The generated User Guide follows those same four parts. Hash-named object pages provide linked explanations with optional source detail. index.html and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rsvars.bat initializes BDS and compiler/library environment. dcc32 builds the current Win32 application and console tests, while the application project build script invokes MSBuild with Debug and Win32.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route title, internal links, text fallback and compact layout. The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optional desktop package contains the Win32 and Win64 DelphiProjectHandoff.exe builds, a WebView2Loader.dll beside each, offline language packs, migrations, help, current guides, directions, and required licenses. It does not include an owner .dphdb, private document copies, or reference-project working stores. A previously created package is a historical build and must not be presented as the current executable.</w:t>
      </w:r>
    </w:p>
    <w:p>
      <w:r>
        <w:t>The editable source distribution is the primary public delivery. It includes the project and forms, source, pinned translation dependency, guides and their source and illustrations, tests, and the OrderPractice example. That example is for reproducible development checks; it is not an imported lesson for an arbitrary selected application.</w:t>
      </w:r>
    </w:p>
    <w:p>
      <w:pPr>
        <w:pStyle w:val="Heading3"/>
      </w:pPr>
      <w:r>
        <w:t>22.2. Run the packager deliberately</w:t>
      </w:r>
    </w:p>
    <w:p>
      <w:pPr>
        <w:keepLines/>
        <w:ind w:left="317" w:hanging="317"/>
      </w:pPr>
      <w:r>
        <w:rPr>
          <w:b/>
        </w:rPr>
        <w:t xml:space="preserve">1. </w:t>
      </w:r>
      <w:r>
        <w:t>Complete the code and document validation and build current Win32 and Win64 Debug and Release executables.</w:t>
      </w:r>
    </w:p>
    <w:p>
      <w:pPr>
        <w:keepLines/>
        <w:ind w:left="317" w:hanging="317"/>
      </w:pPr>
      <w:r>
        <w:rPr>
          <w:b/>
        </w:rPr>
        <w:t xml:space="preserve">2. </w:t>
      </w:r>
      <w:r>
        <w:t>Review the exact source files and guide illustrations to distribute. Run tools\package-source-distribution.ps1 with a fresh semantic Version value. It verifies every source file hash and refuses an existing archive name.</w:t>
      </w:r>
    </w:p>
    <w:p>
      <w:pPr>
        <w:keepLines/>
        <w:ind w:left="317" w:hanging="317"/>
      </w:pPr>
      <w:r>
        <w:rPr>
          <w:b/>
        </w:rPr>
        <w:t xml:space="preserve">3. </w:t>
      </w:r>
      <w:r>
        <w:t>Extract the source ZIP into a fresh directory and build it. Check that the example, documentation source, 35 language packs, form resources, and guide illustrations are present.</w:t>
      </w:r>
    </w:p>
    <w:p>
      <w:pPr>
        <w:keepLines/>
        <w:ind w:left="317" w:hanging="317"/>
      </w:pPr>
      <w:r>
        <w:rPr>
          <w:b/>
        </w:rPr>
        <w:t xml:space="preserve">4. </w:t>
      </w:r>
      <w:r>
        <w:t>If a ready-to-run experimental Windows package is also offered, run tools\package-dph.ps1 with the same version after the source and executable agree. Verify its extraction, hashes, and launch separately.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a newly made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Learn the project names it and the other five tabs open the corresponding findings.</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 Check the source ZIP's SHA256.txt entries against extracted files.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25.11.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25.12.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25.13.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25.14.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w:t>
      </w:r>
    </w:p>
    <w:p>
      <w:pPr>
        <w:pStyle w:val="Heading3"/>
      </w:pPr>
      <w:r>
        <w:t>25.15.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25.16.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25.17.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25.18.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25.19.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25.20.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25.21.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25.22.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25.23.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25.24.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Boolean;</w:t>
      </w:r>
    </w:p>
    <w:p>
      <w:pPr>
        <w:pStyle w:val="Heading3"/>
      </w:pPr>
      <w:r>
        <w:t>25.25.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25.26.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25.27.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25.28.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25.29.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procedure SaveWorkspaceView(AGenerationID: Int64; const AJSON: string);</w:t>
      </w:r>
    </w:p>
    <w:p>
      <w:pPr>
        <w:spacing w:after="40" w:line="247" w:lineRule="auto"/>
      </w:pPr>
      <w:r>
        <w:rPr>
          <w:rFonts w:ascii="Consolas" w:hAnsi="Consolas"/>
          <w:sz w:val="18"/>
        </w:rPr>
        <w:t>function LoadWorkspaceView(AGenerationID: Int64 = 0): 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25.30.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25.31.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25.32.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25.33.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w:t>
      </w:r>
    </w:p>
    <w:p>
      <w:pPr>
        <w:spacing w:after="40" w:line="247" w:lineRule="auto"/>
      </w:pPr>
      <w:r>
        <w:rPr>
          <w:rFonts w:ascii="Consolas" w:hAnsi="Consolas"/>
          <w:sz w:val="18"/>
        </w:rPr>
        <w:t>procedure LoadView(ADocument: TJSONObject; AScreenshots: TJSONArray = nil);</w:t>
      </w:r>
    </w:p>
    <w:p>
      <w:pPr>
        <w:spacing w:after="40" w:line="247" w:lineRule="auto"/>
      </w:pPr>
      <w:r>
        <w:rPr>
          <w:rFonts w:ascii="Consolas" w:hAnsi="Consolas"/>
          <w:sz w:val="18"/>
        </w:rPr>
        <w:t>procedure LoadKnowledge(ARows: TJSONArray);</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25.36.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25.37.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25.38.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25.39.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25.40.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25.41.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25.42.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25.43.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25.44.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25.45.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25.46.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25.47.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25.48.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25.49.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25.50.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25.51.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25.52.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p>
      <w:r>
        <w:t>Expected result: the delivered files are reproducible, usable as learning material and supported by evidence that applies to the exact package. Independent learner acceptance remains a separate observed result and should be reported honestly when not performed.</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45  |  14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