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Maintain target backup and restoration evidence</w:t>
      </w:r>
      <w:r>
        <w:rPr>
          <w:sz w:val="22"/>
        </w:rPr>
        <w:tab/>
        <w:t>32</w:t>
      </w:r>
    </w:p>
    <w:p>
      <w:pPr>
        <w:spacing w:after="0" w:line="240" w:lineRule="auto"/>
        <w:tabs>
          <w:tab w:val="right" w:leader="dot" w:pos="9360"/>
        </w:tabs>
      </w:pPr>
      <w:r>
        <w:rPr>
          <w:sz w:val="22"/>
        </w:rPr>
        <w:t>Maintain structured business process records</w:t>
      </w:r>
      <w:r>
        <w:rPr>
          <w:sz w:val="22"/>
        </w:rPr>
        <w:tab/>
        <w:t>32</w:t>
      </w:r>
    </w:p>
    <w:p>
      <w:pPr>
        <w:spacing w:after="0" w:line="240" w:lineRule="auto"/>
        <w:tabs>
          <w:tab w:val="right" w:leader="dot" w:pos="9360"/>
        </w:tabs>
      </w:pPr>
      <w:r>
        <w:rPr>
          <w:sz w:val="22"/>
        </w:rPr>
        <w:t>Maintain ordered departmental workflow evidence</w:t>
      </w:r>
      <w:r>
        <w:rPr>
          <w:sz w:val="22"/>
        </w:rPr>
        <w:tab/>
        <w:t>33</w:t>
      </w:r>
    </w:p>
    <w:p>
      <w:pPr>
        <w:spacing w:after="0" w:line="240" w:lineRule="auto"/>
        <w:tabs>
          <w:tab w:val="right" w:leader="dot" w:pos="9360"/>
        </w:tabs>
      </w:pPr>
      <w:r>
        <w:rPr>
          <w:sz w:val="22"/>
        </w:rPr>
        <w:t>Source and revision evidence</w:t>
      </w:r>
      <w:r>
        <w:rPr>
          <w:sz w:val="22"/>
        </w:rPr>
        <w:tab/>
        <w:t>33</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Maintain target backup and restoration evidence</w:t>
      </w:r>
    </w:p>
    <w:p>
      <w:r>
        <w:t>TDPHWorkspaceView provides the recovery template, typed metadata validation, recognition and readable attribution. record_type target_recovery and a stable GUID plan_id identify each plan independently of its editable body. TDPHKnowledgeStore.SaveKnowledge enforces the first heading, descriptive stable title, project business-rule and maintenance scope, unique identity and existing optimistic revisions. Named reviews and edits preserve exact prior bodies and evidence links; unknowns remain explicit.</w:t>
      </w:r>
    </w:p>
    <w:p>
      <w:r>
        <w:t>TargetRecovery controls in DPH.UI.Main.fmx are serialized for IDE and Object Inspector editing. The register provides state and text filters, 250-row pages, labeled scrolling evidence, New/Open and the existing exact-link editor. It borrows saved Knowledge rows and clears them before replacement; it guards unsaved drafts. No helper unit, migration, runtime control construction or target backup/restore execution is introduced.</w:t>
      </w:r>
    </w:p>
    <w:p>
      <w:r>
        <w:t>The controlled tests parse a real Recovery.dpr and RestoreOrders routine, persist requirements and attributed test measurements, exercise invalid/duplicate/stale saves, immutable review/edit history, source and exact procedure links, canonical and escaped HTML publication, full bundle validation, native editing/navigation/filtering/paging and compact layout. Knowledge, publishing and data-quality regression suites and the actual app/FMX baseline cover shared paths. Run tools/build-target-recovery.cmd elevated. Fixtures remain under fixed ignored bin/target-recovery-validation.</w:t>
      </w:r>
    </w:p>
    <w:p>
      <w:r>
        <w:t>DPH portable database backup and selected-application recovery requirements are separate. Written measurements are contributor claims, and a stored hash does not authenticate their origin or prove recovery. Existing section links can pin a saved evidence revision. The embedded-NUL report rejection fixture uses an ordinary filename, embedded-nul.txt, to avoid Windows device-name behavior while testing the actual NUL bytes.</w:t>
      </w:r>
    </w:p>
    <w:p>
      <w:pPr>
        <w:pStyle w:val="Heading1"/>
      </w:pPr>
      <w:r>
        <w:t>Maintain structured business process records</w:t>
      </w:r>
    </w:p>
    <w:p>
      <w:r>
        <w:t>TDPHWorkspaceView provides the typed business_process object with stable process_id GUID and eight string fields. Validation rejects missing, unexpected, non-text, empty and oversized fields, and an unspecified process name. SaveKnowledge enforces project business-rule maintenance scope, a name matching the stable title, a canonical generated body, unique identity and optimistic revisions. Existing metadata conversion/discard guards, immutable review/edit history and exact evidence links remain authoritative.</w:t>
      </w:r>
    </w:p>
    <w:p>
      <w:r>
        <w:t>BusinessProcess controls and the Process fields editor are serialized in DPH.UI.Main.fmx for IDE and Object Inspector editing. A scrolling native field editor prepares the existing Knowledge draft rather than silently saving. Named contributor, draft guards, editable business fields, protected saved name, separate review, filters, 250-row paging, source explanation navigation and exact section revisions share the existing workflow. No helper unit, schema migration, runtime control construction or target execution is introduced.</w:t>
      </w:r>
    </w:p>
    <w:p>
      <w:r>
        <w:t>Run tools/build-business-process.cmd elevated. The controlled fixture parses Operations.dpr and FulfilOrders, persists and reopens typed fields, tests malformed metadata, duplicate/changed identities, canonical-body divergence, stale saves, named review and immutable history, exact source/procedure links, canonical publication and full bundle validation. Actual native FMX editor/register renders cover normal and compact windows and the last field. Shared knowledge, publishing and data-quality suites and tools/build-wp0.cmd cover regressions. Fixtures use the fixed ignored bin/business-process-validation directory.</w:t>
      </w:r>
    </w:p>
    <w:p>
      <w:r>
        <w:t>Business owner and contributor are distinct. Unknown is an explicit unresolved value rather than inferred business knowledge. Source links establish captured implementation evidence, not that a business step ran. Generic ordered step text in this inventory does not complete the separate departmental workflow or end-to-end process-diagram requirements.</w:t>
      </w:r>
    </w:p>
    <w:p>
      <w:pPr>
        <w:pStyle w:val="Heading1"/>
      </w:pPr>
      <w:r>
        <w:t>Maintain ordered departmental workflow evidence</w:t>
      </w:r>
    </w:p>
    <w:p>
      <w:r>
        <w:t>TDPHWorkspaceView provides departmental_workflow metadata, canonical workflow GUID, five workflow fields and an ordered steps array. Each step has a canonical GUID, department, role, action, inputs, outputs, handoff, exception handling and exception destination. Validation rejects duplicate identities, dangling destinations, unknown shapes, invalid types, empty or oversized fields, unspecified actions, missing steps and exceeded limits. Normal authored order follows the array; exception identity remains stable across reordering.</w:t>
      </w:r>
    </w:p>
    <w:p>
      <w:r>
        <w:t>SaveKnowledge requires project-scoped maintenance business-rule records, stable title matching the structured name, canonical generated body, unique workflow identity and optimistic revisions. Existing immutable save/review history, source invalidation, exact section/source links, named contributors and reviewers, publication and reopening apply. No new schema or helper unit is added. Human workflow content and named review do not establish target execution, business authorization or successful outcomes.</w:t>
      </w:r>
    </w:p>
    <w:p>
      <w:r>
        <w:t>The register and workflow/step fields are native serialized controls in DPH.UI.Main.fmx. New/Edit create a local structured draft; Apply step modifies that draft; Apply workflow prepares Knowledge; Save persists it. Shared nonmodal editor guards prevent saving unapplied fields and bind edits to the original record. New/discarded Knowledge frees its workflow draft. Compact commands scroll horizontally and fields vertically. Array replacement/reordering uses the RTL TJSONArray.SetElements ownership contract while retaining or freeing element values appropriately.</w:t>
      </w:r>
    </w:p>
    <w:p>
      <w:r>
        <w:t>Run tools/build-departmental-workflow.cmd elevated. The real parser, SQLite reopening, revision/review and canonical publication fixture covers ordered Sales/Warehouse steps, roles, handoff, recovery destination, malformed records, invalid identities, dangling/duplicate destinations, bounds, source/procedure links and unchanged source/catalog. Native FMX exercises add/apply/remove protection, reordering, dirty-step and unapplied-workflow guards, editor/register navigation and compact renders. Compatibility covers Knowledge, publishing, data quality and the business-process editor plus the actual application/FMX build. Fixtures remain in the fixed ignored bin/departmental-workflow-validation directory.</w:t>
      </w:r>
    </w:p>
    <w:p>
      <w:r>
        <w:t>This implements departmental workflow capture. The separate end-to-end process-diagram requirement remains pending; technical code graphs are not substituted for business workflow diagrams.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ec6318b2608e97063f8f3ad7e404ededd1dc017c67540870b3c0e43ef286c852</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d0d07d94b568cbbe1a51fb00d7eb6ba618a97fc4b1349cf5247e9a9f5ede49c0</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be03c357c96bbdb828d63c347a6bd7d5bc5ba3ecbf161cf67853299a4aca23b5</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e65647f974ea2b81593c20c5d15d49e7518e3092275709ad25aab12970158b7e</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