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Record target data quality rules and check reports</w:t>
      </w:r>
      <w:r>
        <w:rPr>
          <w:sz w:val="22"/>
        </w:rPr>
        <w:tab/>
        <w:t>27</w:t>
      </w:r>
    </w:p>
    <w:p>
      <w:pPr>
        <w:spacing w:after="0" w:line="240" w:lineRule="auto"/>
        <w:tabs>
          <w:tab w:val="right" w:leader="dot" w:pos="9360"/>
        </w:tabs>
      </w:pPr>
      <w:r>
        <w:rPr>
          <w:sz w:val="22"/>
        </w:rPr>
        <w:t>Record backup and restoration requirements</w:t>
      </w:r>
      <w:r>
        <w:rPr>
          <w:sz w:val="22"/>
        </w:rPr>
        <w:tab/>
        <w:t>28</w:t>
      </w:r>
    </w:p>
    <w:p>
      <w:pPr>
        <w:spacing w:after="0" w:line="240" w:lineRule="auto"/>
        <w:tabs>
          <w:tab w:val="right" w:leader="dot" w:pos="9360"/>
        </w:tabs>
      </w:pPr>
      <w:r>
        <w:rPr>
          <w:sz w:val="22"/>
        </w:rPr>
        <w:t>Compare screen history and visual changes</w:t>
      </w:r>
      <w:r>
        <w:rPr>
          <w:sz w:val="22"/>
        </w:rPr>
        <w:tab/>
        <w:t>28</w:t>
      </w:r>
    </w:p>
    <w:p>
      <w:pPr>
        <w:spacing w:after="0" w:line="240" w:lineRule="auto"/>
        <w:tabs>
          <w:tab w:val="right" w:leader="dot" w:pos="9360"/>
        </w:tabs>
      </w:pPr>
      <w:r>
        <w:rPr>
          <w:sz w:val="22"/>
        </w:rPr>
        <w:t>Record user actions and business purposes</w:t>
      </w:r>
      <w:r>
        <w:rPr>
          <w:sz w:val="22"/>
        </w:rPr>
        <w:tab/>
        <w:t>29</w:t>
      </w:r>
    </w:p>
    <w:p>
      <w:pPr>
        <w:spacing w:after="0" w:line="240" w:lineRule="auto"/>
        <w:tabs>
          <w:tab w:val="right" w:leader="dot" w:pos="9360"/>
        </w:tabs>
      </w:pPr>
      <w:r>
        <w:rPr>
          <w:sz w:val="22"/>
        </w:rPr>
        <w:t>Write attributed knowledge</w:t>
      </w:r>
      <w:r>
        <w:rPr>
          <w:sz w:val="22"/>
        </w:rPr>
        <w:tab/>
        <w:t>29</w:t>
      </w:r>
    </w:p>
    <w:p>
      <w:pPr>
        <w:spacing w:after="0" w:line="240" w:lineRule="auto"/>
        <w:tabs>
          <w:tab w:val="right" w:leader="dot" w:pos="9360"/>
        </w:tabs>
      </w:pPr>
      <w:r>
        <w:rPr>
          <w:sz w:val="22"/>
        </w:rPr>
        <w:t>Link authored sections to exact evidence</w:t>
      </w:r>
      <w:r>
        <w:rPr>
          <w:sz w:val="22"/>
        </w:rPr>
        <w:tab/>
        <w:t>30</w:t>
      </w:r>
    </w:p>
    <w:p>
      <w:pPr>
        <w:spacing w:after="0" w:line="240" w:lineRule="auto"/>
        <w:tabs>
          <w:tab w:val="right" w:leader="dot" w:pos="9360"/>
        </w:tabs>
      </w:pPr>
      <w:r>
        <w:rPr>
          <w:sz w:val="22"/>
        </w:rPr>
        <w:t>Review and retire knowledge</w:t>
      </w:r>
      <w:r>
        <w:rPr>
          <w:sz w:val="22"/>
        </w:rPr>
        <w:tab/>
        <w:t>30</w:t>
      </w:r>
    </w:p>
    <w:p>
      <w:pPr>
        <w:spacing w:after="0" w:line="240" w:lineRule="auto"/>
        <w:tabs>
          <w:tab w:val="right" w:leader="dot" w:pos="9360"/>
        </w:tabs>
      </w:pPr>
      <w:r>
        <w:rPr>
          <w:sz w:val="22"/>
        </w:rPr>
        <w:t>Review changed knowledge against evidence</w:t>
      </w:r>
      <w:r>
        <w:rPr>
          <w:sz w:val="22"/>
        </w:rPr>
        <w:tab/>
        <w:t>31</w:t>
      </w:r>
    </w:p>
    <w:p>
      <w:pPr>
        <w:spacing w:after="0" w:line="240" w:lineRule="auto"/>
        <w:tabs>
          <w:tab w:val="right" w:leader="dot" w:pos="9360"/>
        </w:tabs>
      </w:pPr>
      <w:r>
        <w:rPr>
          <w:sz w:val="22"/>
        </w:rPr>
        <w:t>Answer focused author questions</w:t>
      </w:r>
      <w:r>
        <w:rPr>
          <w:sz w:val="22"/>
        </w:rPr>
        <w:tab/>
        <w:t>31</w:t>
      </w:r>
    </w:p>
    <w:p>
      <w:pPr>
        <w:spacing w:after="0" w:line="240" w:lineRule="auto"/>
        <w:tabs>
          <w:tab w:val="right" w:leader="dot" w:pos="9360"/>
        </w:tabs>
      </w:pPr>
      <w:r>
        <w:rPr>
          <w:sz w:val="22"/>
        </w:rPr>
        <w:t>Preserve saved runtime observations</w:t>
      </w:r>
      <w:r>
        <w:rPr>
          <w:sz w:val="22"/>
        </w:rPr>
        <w:tab/>
        <w:t>31</w:t>
      </w:r>
    </w:p>
    <w:p>
      <w:pPr>
        <w:spacing w:after="0" w:line="240" w:lineRule="auto"/>
        <w:tabs>
          <w:tab w:val="right" w:leader="dot" w:pos="9360"/>
        </w:tabs>
      </w:pPr>
      <w:r>
        <w:rPr>
          <w:sz w:val="22"/>
        </w:rPr>
        <w:t>Retain captures and review rename continuity</w:t>
      </w:r>
      <w:r>
        <w:rPr>
          <w:sz w:val="22"/>
        </w:rPr>
        <w:tab/>
        <w:t>32</w:t>
      </w:r>
    </w:p>
    <w:p>
      <w:pPr>
        <w:spacing w:after="0" w:line="240" w:lineRule="auto"/>
        <w:tabs>
          <w:tab w:val="right" w:leader="dot" w:pos="9360"/>
        </w:tabs>
      </w:pPr>
      <w:r>
        <w:rPr>
          <w:sz w:val="22"/>
        </w:rPr>
        <w:t>Back up and restore a complete database</w:t>
      </w:r>
      <w:r>
        <w:rPr>
          <w:sz w:val="22"/>
        </w:rPr>
        <w:tab/>
        <w:t>32</w:t>
      </w:r>
    </w:p>
    <w:p>
      <w:pPr>
        <w:spacing w:after="0" w:line="240" w:lineRule="auto"/>
        <w:tabs>
          <w:tab w:val="right" w:leader="dot" w:pos="9360"/>
        </w:tabs>
      </w:pPr>
      <w:r>
        <w:rPr>
          <w:sz w:val="22"/>
        </w:rPr>
        <w:t>Publish manuals and handoffs</w:t>
      </w:r>
      <w:r>
        <w:rPr>
          <w:sz w:val="22"/>
        </w:rPr>
        <w:tab/>
        <w:t>32</w:t>
      </w:r>
    </w:p>
    <w:p>
      <w:pPr>
        <w:spacing w:after="0" w:line="240" w:lineRule="auto"/>
        <w:tabs>
          <w:tab w:val="right" w:leader="dot" w:pos="9360"/>
        </w:tabs>
      </w:pPr>
      <w:r>
        <w:rPr>
          <w:sz w:val="22"/>
        </w:rPr>
        <w:t>Translate and review saved sections</w:t>
      </w:r>
      <w:r>
        <w:rPr>
          <w:sz w:val="22"/>
        </w:rPr>
        <w:tab/>
        <w:t>33</w:t>
      </w:r>
    </w:p>
    <w:p>
      <w:pPr>
        <w:spacing w:after="0" w:line="240" w:lineRule="auto"/>
        <w:tabs>
          <w:tab w:val="right" w:leader="dot" w:pos="9360"/>
        </w:tabs>
      </w:pPr>
      <w:r>
        <w:rPr>
          <w:sz w:val="22"/>
        </w:rPr>
        <w:t>Publish localized text and source browsing</w:t>
      </w:r>
      <w:r>
        <w:rPr>
          <w:sz w:val="22"/>
        </w:rPr>
        <w:tab/>
        <w:t>33</w:t>
      </w:r>
    </w:p>
    <w:p>
      <w:pPr>
        <w:spacing w:after="0" w:line="240" w:lineRule="auto"/>
        <w:tabs>
          <w:tab w:val="right" w:leader="dot" w:pos="9360"/>
        </w:tabs>
      </w:pPr>
      <w:r>
        <w:rPr>
          <w:sz w:val="22"/>
        </w:rPr>
        <w:t>Validate a bundle in the application</w:t>
      </w:r>
      <w:r>
        <w:rPr>
          <w:sz w:val="22"/>
        </w:rPr>
        <w:tab/>
        <w:t>34</w:t>
      </w:r>
    </w:p>
    <w:p>
      <w:pPr>
        <w:spacing w:after="0" w:line="240" w:lineRule="auto"/>
        <w:tabs>
          <w:tab w:val="right" w:leader="dot" w:pos="9360"/>
        </w:tabs>
      </w:pPr>
      <w:r>
        <w:rPr>
          <w:sz w:val="22"/>
        </w:rPr>
        <w:t>Validate and preserve exports</w:t>
      </w:r>
      <w:r>
        <w:rPr>
          <w:sz w:val="22"/>
        </w:rPr>
        <w:tab/>
        <w:t>34</w:t>
      </w:r>
    </w:p>
    <w:p>
      <w:pPr>
        <w:spacing w:after="0" w:line="240" w:lineRule="auto"/>
        <w:tabs>
          <w:tab w:val="right" w:leader="dot" w:pos="9360"/>
        </w:tabs>
      </w:pPr>
      <w:r>
        <w:rPr>
          <w:sz w:val="22"/>
        </w:rPr>
        <w:t>Troubleshoot common states</w:t>
      </w:r>
      <w:r>
        <w:rPr>
          <w:sz w:val="22"/>
        </w:rPr>
        <w:tab/>
        <w:t>34</w:t>
      </w:r>
    </w:p>
    <w:p>
      <w:pPr>
        <w:spacing w:after="0" w:line="240" w:lineRule="auto"/>
        <w:tabs>
          <w:tab w:val="right" w:leader="dot" w:pos="9360"/>
        </w:tabs>
      </w:pPr>
      <w:r>
        <w:rPr>
          <w:sz w:val="22"/>
        </w:rPr>
        <w:t>Practice a maintenance handoff</w:t>
      </w:r>
      <w:r>
        <w:rPr>
          <w:sz w:val="22"/>
        </w:rPr>
        <w:tab/>
        <w:t>35</w:t>
      </w:r>
    </w:p>
    <w:p>
      <w:pPr>
        <w:spacing w:after="0" w:line="240" w:lineRule="auto"/>
        <w:tabs>
          <w:tab w:val="right" w:leader="dot" w:pos="9360"/>
        </w:tabs>
      </w:pPr>
      <w:r>
        <w:rPr>
          <w:sz w:val="22"/>
        </w:rPr>
        <w:t>Understand implementation status</w:t>
      </w:r>
      <w:r>
        <w:rPr>
          <w:sz w:val="22"/>
        </w:rPr>
        <w:tab/>
        <w:t>35</w:t>
      </w:r>
    </w:p>
    <w:p>
      <w:pPr>
        <w:spacing w:after="0" w:line="240" w:lineRule="auto"/>
        <w:tabs>
          <w:tab w:val="right" w:leader="dot" w:pos="9360"/>
        </w:tabs>
      </w:pPr>
      <w:r>
        <w:rPr>
          <w:sz w:val="22"/>
        </w:rPr>
        <w:t>Inventory business processes</w:t>
      </w:r>
      <w:r>
        <w:rPr>
          <w:sz w:val="22"/>
        </w:rPr>
        <w:tab/>
        <w:t>35</w:t>
      </w:r>
    </w:p>
    <w:p>
      <w:pPr>
        <w:spacing w:after="0" w:line="240" w:lineRule="auto"/>
        <w:tabs>
          <w:tab w:val="right" w:leader="dot" w:pos="9360"/>
        </w:tabs>
      </w:pPr>
      <w:r>
        <w:rPr>
          <w:sz w:val="22"/>
        </w:rPr>
        <w:t>Record departmental workflows</w:t>
      </w:r>
      <w:r>
        <w:rPr>
          <w:sz w:val="22"/>
        </w:rPr>
        <w:tab/>
        <w:t>36</w:t>
      </w:r>
    </w:p>
    <w:p>
      <w:pPr>
        <w:spacing w:after="0" w:line="240" w:lineRule="auto"/>
        <w:tabs>
          <w:tab w:val="right" w:leader="dot" w:pos="9360"/>
        </w:tabs>
      </w:pPr>
      <w:r>
        <w:rPr>
          <w:sz w:val="22"/>
        </w:rPr>
        <w:t>Source and revision evidence</w:t>
      </w:r>
      <w:r>
        <w:rPr>
          <w:sz w:val="22"/>
        </w:rPr>
        <w:tab/>
        <w:t>37</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Record target data quality rules and check reports</w:t>
      </w:r>
    </w:p>
    <w:p>
      <w:r>
        <w:t>Choose Target data quality in the upper-right page selector after attaching a source project or opening its database. New check prepares an unsaved Knowledge draft. Enter a descriptive title and named author. Preserve the first heading and record the check purpose and version, tables/fields/files and environment, quality dimension, measurable threshold and units, prerequisites and sampling, implementing procedure and schedule, responsible owner, failure severity and remediation, observed results, evidence and remaining unknowns. Unknown is an unresolved answer and should name its responsible maintainer.</w:t>
      </w:r>
    </w:p>
    <w:p>
      <w:r>
        <w:t>Use Knowledge links to attach captured semantic routines, constraints or exact procedure-section revisions. Choose entity, evidence or section, narrow the search, Find targets, select a result, choose depends_on or cites, and Add link. Return to Knowledge and Save. A typed routine name in prose is not a resolved link. Saving leaves needs_review; named review is separate. Open check returns to the saved record for editing, history and review. Implementation links opens its exact links. Search and review-state filters narrow the register; Next page covers lists exceeding 250 rows.</w:t>
      </w:r>
    </w:p>
    <w:p>
      <w:r>
        <w:t>To preserve an existing check report, enter the report contributor name and the check/environment/measurement context on Target data quality, then click Import check report. Select an explicitly saved UTF-8 .txt, .log or .json extract no larger than 32 KiB. Import immediately saves a new pending-review quality record containing the literal text, contributor, context, import UTC, captured generation and original byte SHA256. No file commands or markup execute. The imported text may contain sensitive data, so prepare an appropriate focused extract first. Report measurements, timestamps and runtime origin remain contributor claims.</w:t>
      </w:r>
    </w:p>
    <w:p>
      <w:r>
        <w:t>To connect a report with its rule, Open check on the rule, choose Implementation links or Knowledge links, select section and search Imported check report plus its descriptive context. Choose the exact report revision, cites and Add link, then return to Knowledge and Save. Earlier linked revisions remain exact when a report is edited. Read every report and procedure against its source; human review does not establish live data quality. Save or discard a current draft before opening another record or importing a report. DPH database integrity checks are a separate feature.</w:t>
      </w:r>
    </w:p>
    <w:p>
      <w:r>
        <w:t>In a narrow window scroll each command bar horizontally to reach all commands and report fields; the labeled evidence memo scrolls independently. Detailed run, practice, import and test directions are in docs/guides/Data_Quality_Run_and_Test.txt. DPH does not run target SQL, checks or applications. Captured schema constraints and validation routines are declarations and candidates rather than observed enforcement.</w:t>
      </w:r>
    </w:p>
    <w:p>
      <w:pPr>
        <w:pStyle w:val="Heading1"/>
      </w:pPr>
      <w:r>
        <w:t>Record backup and restoration requirements</w:t>
      </w:r>
    </w:p>
    <w:p>
      <w:r>
        <w:t>After attaching the selected application or opening its saved database, choose Target backup and restore in the upper-right page selector. This register documents the selected application. DPH portable database backups remain on Database tools and serve a separate purpose. New plan opens an unsaved Knowledge draft. Enter a descriptive title and named author and preserve the first heading.</w:t>
      </w:r>
    </w:p>
    <w:p>
      <w:r>
        <w:t>Complete the data scope, recovery point objective and maximum acceptable data loss, recovery time objective and priority, backup type and consistency, schedule, destination, retention and offsite copies, encryption and key responsibility, prerequisites and dependency order, restoration steps, rollback criteria and responsible operators. Unknown remains unresolved and should name the responsible maintainer. Avoid credentials and actual customer data.</w:t>
      </w:r>
    </w:p>
    <w:p>
      <w:r>
        <w:t>Record each recovery test with its date, isolated environment, operator, backup identity or hash, measured recovery time and recovered point, acceptance checks, failures, corrective action, reviewer and evidence. These are attributed claims. Use Knowledge links to attach captured backup or restore routines with entity and depends_on, or exact operating procedure and recovery-test evidence revisions with section and cites. Return to Knowledge and Save. A name in prose alone does not create an implementation link.</w:t>
      </w:r>
    </w:p>
    <w:p>
      <w:r>
        <w:t>Save creates a needs_review revision. Review separately against evidence using a named reviewer. Open plan returns to its saved Knowledge record for editing and history; Implementation links opens the exact links. Filters search plan text and review state. First page and Next page navigate more than 250 plans. Scroll the command bar horizontally in narrow windows and the labeled evidence memo vertically. Save or discard an existing draft before starting or opening another plan.</w:t>
      </w:r>
    </w:p>
    <w:p>
      <w:r>
        <w:t>DPH never runs a target backup or restoration or proves that a recovery test succeeded. Publishing with the maintenance or all audience includes the attributed plan subject to exclusions and redaction. Explicit run, practice and test instructions are in docs/guides/Target_Recovery_Run_and_Test.txt.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315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Inventory business processes</w:t>
      </w:r>
    </w:p>
    <w:p>
      <w:r>
        <w:t>Open the selected application or its database, then choose Business processes in the upper-right page selector. Click New process. The Process fields page provides separately labeled fields for process name, accountable owner, department and roles, trigger and prerequisites, inputs and their origins, outputs and recipients, ordered steps and handoffs, and unknowns with the person responsible for resolving them. Enter a named contributor above the fields. The contributor records the description; the accountable owner is a separate business role.</w:t>
      </w:r>
    </w:p>
    <w:p>
      <w:r>
        <w:t>Give the process a descriptive name. Complete each field or explicitly enter Unknown. Do not enter customer records or credentials. Name is stable after saving; other fields remain editable. Each field accepts up to 4096 characters and the name up to 200. Scroll vertically to reach the last fields. In a narrow window scroll the command bar horizontally to reach Apply to Knowledge draft. Apply prepares the canonical body and does not save it. Click Save on Knowledge to persist the process as needs_review.</w:t>
      </w:r>
    </w:p>
    <w:p>
      <w:r>
        <w:t>Choose Knowledge links to connect captured routines using entity and depends_on, or exact procedure/evidence revisions using section and cites. Search, Find targets, select a result, choose the link role and Add link. Return to Knowledge and Save. A routine name written in prose alone is not a source link. Review separately using a named reviewer after checking the business account and source evidence.</w:t>
      </w:r>
    </w:p>
    <w:p>
      <w:r>
        <w:t>Return to Business processes. Open record opens saved Knowledge and its immutable history; Edit fields restores the structured editor, preserves the process identity and exact links, and prepares a new revision after Apply and Save. Implementation links opens its evidence links. The review-state and text filters search the register, including owners, inputs and outputs. First page and Next page expose inventories larger than 250 records. Save or discard a current draft before editing another process. Cancel discards the current draft.</w:t>
      </w:r>
    </w:p>
    <w:p>
      <w:r>
        <w:t>Publishing with maintenance or all audience includes the attributed canonical process and typed fields, subject to exclusions and redaction. These descriptions do not establish that the target performed the steps or produced the stated outcomes. A repeatable exercise and elevated test command are in docs/guides/Business_Process_Run_and_Test.txt.</w:t>
      </w:r>
    </w:p>
    <w:p>
      <w:pPr>
        <w:pStyle w:val="Heading1"/>
      </w:pPr>
      <w:r>
        <w:t>Record departmental workflows</w:t>
      </w:r>
    </w:p>
    <w:p>
      <w:r>
        <w:t>Open the intended project or its database and choose Departmental workflows in the upper-right page selector. Click New workflow. In Workflow fields enter a named contributor, descriptive name, accountable owner, department scope, trigger and prerequisites, and unresolved questions with their responsible maintainer. Scroll down to Ordered steps. The contributor records the account; the accountable owner is a separate role.</w:t>
      </w:r>
    </w:p>
    <w:p>
      <w:r>
        <w:t>Click New step. Enter its department, responsible role, descriptive action, inputs and origins, outputs and recipients, handoff to the next department or role, and exception handling or recovery. Unknown remains an unresolved value. Choose the Exception destination from Unknown, End or an existing named step. Click Apply step. This updates the local workflow draft and does not save the database. Repeat to add the next step. Normal order follows the list; the last step ends the authored sequence.</w:t>
      </w:r>
    </w:p>
    <w:p>
      <w:r>
        <w:t>Select a step to edit it, then Apply step. Move up and Move down reorder the normal sequence while retaining stable exception destinations. Remove step refuses removal while another step refers to it as an exception destination; edit that referring step first. Apply or Discard step edits before selecting, adding, removing or moving another step. Discard step edits abandons the current step changes. Cancel discards the entire workflow draft.</w:t>
      </w:r>
    </w:p>
    <w:p>
      <w:r>
        <w:t>Click Apply workflow to draft, then click Save on Knowledge. Save refuses an unapplied editor to avoid losing field changes. Use Knowledge links with section and cites to link an exact saved business-process or procedure revision; use entity and depends_on for captured implementing routines. Return to Knowledge and Save the links. Review separately using a named reviewer. Open record shows saved Knowledge and immutable history; Edit fields restores the structured workflow for a new revision.</w:t>
      </w:r>
    </w:p>
    <w:p>
      <w:r>
        <w:t>Filter by workflow, department, role, action or review state. First page and Next page navigate inventories larger than 250 records. Scroll command bars horizontally and the editor vertically in narrow windows. Each workflow contains 1 through 64 steps, with a 64 KiB structured-record limit. Workflow fields accept 4096 characters, the name 200 and step fields 2048. Split a larger account into explicitly linked workflows. Unknown destinations remain visible rather than invented.</w:t>
      </w:r>
    </w:p>
    <w:p>
      <w:r>
        <w:t>Publish with maintenance or all audience to include the canonical ordered steps and attributed exception paths, subject to exclusions and redaction. DPH never executes a business workflow; content review does not grant business authorization or prove success. Detailed run, practice and test directions are in docs/guides/Departmental_Workflow_Run_and_Test.txt.</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ec6318b2608e97063f8f3ad7e404ededd1dc017c67540870b3c0e43ef286c852</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d0d07d94b568cbbe1a51fb00d7eb6ba618a97fc4b1349cf5247e9a9f5ede49c0</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be03c357c96bbdb828d63c347a6bd7d5bc5ba3ecbf161cf67853299a4aca23b5</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e65647f974ea2b81593c20c5d15d49e7518e3092275709ad25aab12970158b7e</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