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Derive captured database engine and version evidence</w:t>
      </w:r>
      <w:r>
        <w:rPr>
          <w:sz w:val="20"/>
        </w:rPr>
        <w:tab/>
        <w:t>18</w:t>
      </w:r>
    </w:p>
    <w:p>
      <w:pPr>
        <w:spacing w:after="0" w:line="240" w:lineRule="auto"/>
        <w:tabs>
          <w:tab w:val="right" w:leader="dot" w:pos="9360"/>
        </w:tabs>
      </w:pPr>
      <w:r>
        <w:rPr>
          <w:sz w:val="20"/>
        </w:rPr>
        <w:t>Source and revision evidence</w:t>
      </w:r>
      <w:r>
        <w:rPr>
          <w:sz w:val="20"/>
        </w:rPr>
        <w:tab/>
        <w:t>19</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c016ecc76fb4b7a82b803fd7ebe3d41be2d38288f63b41586e4e2c318ce7c0f8</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809064f9e9497125340f5c25c2f1ee6d365f342b02b3e702a6400bfdd1fb8a23</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3fb8ad4686fdda0b48d22e81b8eb8e5affde8abfd465181e15f881d476293660</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