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0.8.0.10  |  Guide edition 58</w:t>
      </w:r>
    </w:p>
    <w:p>
      <w:r>
        <w:t>Last changed 17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11</w:t>
      </w:r>
    </w:p>
    <w:p>
      <w:pPr>
        <w:pStyle w:val="TOC2"/>
        <w:tabs>
          <w:tab w:val="right" w:leader="dot" w:pos="9360"/>
        </w:tabs>
      </w:pPr>
      <w:r>
        <w:t>7. Source bytes, ranges, and safe acquisition</w:t>
      </w:r>
      <w:r>
        <w:tab/>
        <w:t>11</w:t>
      </w:r>
    </w:p>
    <w:p>
      <w:pPr>
        <w:pStyle w:val="TOC2"/>
        <w:tabs>
          <w:tab w:val="right" w:leader="dot" w:pos="9360"/>
        </w:tabs>
      </w:pPr>
      <w:r>
        <w:t>8. Project inventory and reading configuration</w:t>
      </w:r>
      <w:r>
        <w:tab/>
        <w:t>12</w:t>
      </w:r>
    </w:p>
    <w:p>
      <w:pPr>
        <w:pStyle w:val="TOC2"/>
        <w:tabs>
          <w:tab w:val="right" w:leader="dot" w:pos="9360"/>
        </w:tabs>
      </w:pPr>
      <w:r>
        <w:t>9. Lexer, preprocessing, and intermediate representation</w:t>
      </w:r>
      <w:r>
        <w:tab/>
        <w:t>13</w:t>
      </w:r>
    </w:p>
    <w:p>
      <w:pPr>
        <w:pStyle w:val="TOC2"/>
        <w:tabs>
          <w:tab w:val="right" w:leader="dot" w:pos="9360"/>
        </w:tabs>
      </w:pPr>
      <w:r>
        <w:t>10. Pascal, forms, and resource parsing</w:t>
      </w:r>
      <w:r>
        <w:tab/>
        <w:t>14</w:t>
      </w:r>
    </w:p>
    <w:p>
      <w:pPr>
        <w:pStyle w:val="TOC2"/>
        <w:tabs>
          <w:tab w:val="right" w:leader="dot" w:pos="9360"/>
        </w:tabs>
      </w:pPr>
      <w:r>
        <w:t>11. Symbols, resolution, control flow, and focused analyses</w:t>
      </w:r>
      <w:r>
        <w:tab/>
        <w:t>15</w:t>
      </w:r>
    </w:p>
    <w:p>
      <w:pPr>
        <w:pStyle w:val="TOC1"/>
        <w:tabs>
          <w:tab w:val="right" w:leader="dot" w:pos="9360"/>
        </w:tabs>
      </w:pPr>
      <w:r>
        <w:t>PART 3: Persistence, authored knowledge, and native presentation</w:t>
      </w:r>
      <w:r>
        <w:tab/>
        <w:t>16</w:t>
      </w:r>
    </w:p>
    <w:p>
      <w:pPr>
        <w:pStyle w:val="TOC2"/>
        <w:tabs>
          <w:tab w:val="right" w:leader="dot" w:pos="9360"/>
        </w:tabs>
      </w:pPr>
      <w:r>
        <w:t>12. SQLite store ownership, migrations, and transactions</w:t>
      </w:r>
      <w:r>
        <w:tab/>
        <w:t>16</w:t>
      </w:r>
    </w:p>
    <w:p>
      <w:pPr>
        <w:pStyle w:val="TOC2"/>
        <w:tabs>
          <w:tab w:val="right" w:leader="dot" w:pos="9360"/>
        </w:tabs>
      </w:pPr>
      <w:r>
        <w:t>13. Generations, source identity, and cached views</w:t>
      </w:r>
      <w:r>
        <w:tab/>
        <w:t>17</w:t>
      </w:r>
    </w:p>
    <w:p>
      <w:pPr>
        <w:pStyle w:val="TOC2"/>
        <w:tabs>
          <w:tab w:val="right" w:leader="dot" w:pos="9360"/>
        </w:tabs>
      </w:pPr>
      <w:r>
        <w:t>14. Authored revisions, links, and review state</w:t>
      </w:r>
      <w:r>
        <w:tab/>
        <w:t>18</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24</w:t>
      </w:r>
    </w:p>
    <w:p>
      <w:pPr>
        <w:pStyle w:val="TOC2"/>
        <w:tabs>
          <w:tab w:val="right" w:leader="dot" w:pos="9360"/>
        </w:tabs>
      </w:pPr>
      <w:r>
        <w:t>18. Publication model and export contract</w:t>
      </w:r>
      <w:r>
        <w:tab/>
        <w:t>24</w:t>
      </w:r>
    </w:p>
    <w:p>
      <w:pPr>
        <w:pStyle w:val="TOC2"/>
        <w:tabs>
          <w:tab w:val="right" w:leader="dot" w:pos="9360"/>
        </w:tabs>
      </w:pPr>
      <w:r>
        <w:t>19. Search, browser navigation, and supporting integrations</w:t>
      </w:r>
      <w:r>
        <w:tab/>
        <w:t>25</w:t>
      </w:r>
    </w:p>
    <w:p>
      <w:pPr>
        <w:pStyle w:val="TOC1"/>
        <w:tabs>
          <w:tab w:val="right" w:leader="dot" w:pos="9360"/>
        </w:tabs>
      </w:pPr>
      <w:r>
        <w:t>PART 5: Building, testing, diagnosis, and release</w:t>
      </w:r>
      <w:r>
        <w:tab/>
        <w:t>26</w:t>
      </w:r>
    </w:p>
    <w:p>
      <w:pPr>
        <w:pStyle w:val="TOC2"/>
        <w:tabs>
          <w:tab w:val="right" w:leader="dot" w:pos="9360"/>
        </w:tabs>
      </w:pPr>
      <w:r>
        <w:t>20. Build environment and source layout</w:t>
      </w:r>
      <w:r>
        <w:tab/>
        <w:t>26</w:t>
      </w:r>
    </w:p>
    <w:p>
      <w:pPr>
        <w:pStyle w:val="TOC2"/>
        <w:tabs>
          <w:tab w:val="right" w:leader="dot" w:pos="9360"/>
        </w:tabs>
      </w:pPr>
      <w:r>
        <w:t>21. Meaningful test selection and execution</w:t>
      </w:r>
      <w:r>
        <w:tab/>
        <w:t>27</w:t>
      </w:r>
    </w:p>
    <w:p>
      <w:pPr>
        <w:pStyle w:val="TOC2"/>
        <w:tabs>
          <w:tab w:val="right" w:leader="dot" w:pos="9360"/>
        </w:tabs>
      </w:pPr>
      <w:r>
        <w:t>22. Package, deploy, and verify extracted copies</w:t>
      </w:r>
      <w:r>
        <w:tab/>
        <w:t>29</w:t>
      </w:r>
    </w:p>
    <w:p>
      <w:pPr>
        <w:pStyle w:val="TOC2"/>
        <w:tabs>
          <w:tab w:val="right" w:leader="dot" w:pos="9360"/>
        </w:tabs>
      </w:pPr>
      <w:r>
        <w:t>23. Diagnose failures at their owning layer</w:t>
      </w:r>
      <w:r>
        <w:tab/>
        <w:t>30</w:t>
      </w:r>
    </w:p>
    <w:p>
      <w:pPr>
        <w:pStyle w:val="TOC2"/>
        <w:tabs>
          <w:tab w:val="right" w:leader="dot" w:pos="9360"/>
        </w:tabs>
      </w:pPr>
      <w:r>
        <w:t>24. Maintain documentation as an engineering artifact</w:t>
      </w:r>
      <w:r>
        <w:tab/>
        <w:t>31</w:t>
      </w:r>
    </w:p>
    <w:p>
      <w:pPr>
        <w:pStyle w:val="TOC1"/>
        <w:tabs>
          <w:tab w:val="right" w:leader="dot" w:pos="9360"/>
        </w:tabs>
      </w:pPr>
      <w:r>
        <w:t>PART 6: Technical reference</w:t>
      </w:r>
      <w:r>
        <w:tab/>
        <w:t>32</w:t>
      </w:r>
    </w:p>
    <w:p>
      <w:pPr>
        <w:pStyle w:val="TOC2"/>
        <w:tabs>
          <w:tab w:val="right" w:leader="dot" w:pos="9360"/>
        </w:tabs>
      </w:pPr>
      <w:r>
        <w:t>25. Source units and public contracts</w:t>
      </w:r>
      <w:r>
        <w:tab/>
        <w:t>32</w:t>
      </w:r>
    </w:p>
    <w:p>
      <w:pPr>
        <w:pStyle w:val="TOC2"/>
        <w:tabs>
          <w:tab w:val="right" w:leader="dot" w:pos="9360"/>
        </w:tabs>
      </w:pPr>
      <w:r>
        <w:t>26. Persisted schema and migration reference</w:t>
      </w:r>
      <w:r>
        <w:tab/>
        <w:t>52</w:t>
      </w:r>
    </w:p>
    <w:p>
      <w:pPr>
        <w:pStyle w:val="TOC2"/>
        <w:tabs>
          <w:tab w:val="right" w:leader="dot" w:pos="9360"/>
        </w:tabs>
      </w:pPr>
      <w:r>
        <w:t>27. Engineering change and release checklists</w:t>
      </w:r>
      <w:r>
        <w:tab/>
        <w:t>59</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its dialog defaults to the application's databases folder and suggests a dated filename when the original name is already used. The save flow verifies the new database and managed-view manifest before discarding the temporary capture, then displays the complete destination path. A failed save leaves the temporary capture available; an existing saved file is not overwritten.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r>
        <w:t>The IDE-editable Rescan project button sends an incremental worker request for the attached entry and current selection. The worker compares the manifest, analyzer versions and selection hash, reuses unchanged findings, and rebuilds changed analysis. The centered progress form remains visible during the request. Rescan is disabled for detached captures and while work is in progress.</w:t>
      </w:r>
    </w:p>
    <w:p>
      <w:r>
        <w:t>The publication model copies the selected .dproj path properties DCC_UnitSearchPath, DCC_IncludePath, DCC_ResourcePath, DCC_Namespace, DCC_UnitOutputDir and DCC_ExeOutput into project_build_paths with source lines. The dossier derives a relative directory map from captured files. These are source declarations, not proof that Delphi IDE global Library or Browsing paths, vendor packages or client libraries are installed on another machine. A maintainer must confirm those external prerequisites.</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The overview also links to Component dependencies, where serialized controls, captured class candidates and package references are qualified without guessing vendor or version. Data and operations links to Database connections and schema, shows starter FireDAC connection templates for InterBase, SQL Server and SQLite without real credentials, and lists captured unit-level variables. A declaration is not a measured runtime value or a successful connection. DAT's HTML translator now requires an exact translation for each prose node; it leaves an unmatched node whole instead of replacing isolated words. The Getting started page supplies complete German prose and coherent English fallback for other locales until reviewed full-page translations exist.</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Before opening the main form in the designer, install export/DAT-component-kit/DelphiProjectHandoff/DesignPackages/Win32/Release/DATLanguageManagerFMXDesign.bpl through Component &gt; Install Packages &gt; Add. Keep its runtime BPLs beside it. The checked-in DPROJ already includes dependencies/DelphiAppTranslation/source in its compiler search path; no separate dependency preparation command is required. rsvars.bat initializes BDS and compiler/library environment. dcc32 builds the Win32 console tests, while MSBuild builds the application configurations.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0.8.0.10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0.8.0.10.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RescanProjectClick(Sender: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25.41.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25.42.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25.43.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25.44.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25.45.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25.46.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25.47.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25.48.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25.49.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25.50.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25.51.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25.52.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25.53.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25.54.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25.55.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58  |  17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