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Source guide edition 59  |  Packaged release 0.8.0.10</w:t>
      </w:r>
    </w:p>
    <w:p>
      <w:r>
        <w:t>Last changed 18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11</w:t>
      </w:r>
    </w:p>
    <w:p>
      <w:pPr>
        <w:pStyle w:val="TOC2"/>
        <w:tabs>
          <w:tab w:val="right" w:leader="dot" w:pos="9360"/>
        </w:tabs>
      </w:pPr>
      <w:r>
        <w:t>7. Source bytes, ranges, and safe acquisition</w:t>
      </w:r>
      <w:r>
        <w:tab/>
        <w:t>11</w:t>
      </w:r>
    </w:p>
    <w:p>
      <w:pPr>
        <w:pStyle w:val="TOC2"/>
        <w:tabs>
          <w:tab w:val="right" w:leader="dot" w:pos="9360"/>
        </w:tabs>
      </w:pPr>
      <w:r>
        <w:t>8. Project inventory and reading configuration</w:t>
      </w:r>
      <w:r>
        <w:tab/>
        <w:t>12</w:t>
      </w:r>
    </w:p>
    <w:p>
      <w:pPr>
        <w:pStyle w:val="TOC2"/>
        <w:tabs>
          <w:tab w:val="right" w:leader="dot" w:pos="9360"/>
        </w:tabs>
      </w:pPr>
      <w:r>
        <w:t>9. Lexer, preprocessing, and intermediate representation</w:t>
      </w:r>
      <w:r>
        <w:tab/>
        <w:t>13</w:t>
      </w:r>
    </w:p>
    <w:p>
      <w:pPr>
        <w:pStyle w:val="TOC2"/>
        <w:tabs>
          <w:tab w:val="right" w:leader="dot" w:pos="9360"/>
        </w:tabs>
      </w:pPr>
      <w:r>
        <w:t>10. Pascal, forms, and resource parsing</w:t>
      </w:r>
      <w:r>
        <w:tab/>
        <w:t>14</w:t>
      </w:r>
    </w:p>
    <w:p>
      <w:pPr>
        <w:pStyle w:val="TOC2"/>
        <w:tabs>
          <w:tab w:val="right" w:leader="dot" w:pos="9360"/>
        </w:tabs>
      </w:pPr>
      <w:r>
        <w:t>11. Symbols, resolution, control flow, and focused analyses</w:t>
      </w:r>
      <w:r>
        <w:tab/>
        <w:t>15</w:t>
      </w:r>
    </w:p>
    <w:p>
      <w:pPr>
        <w:pStyle w:val="TOC1"/>
        <w:tabs>
          <w:tab w:val="right" w:leader="dot" w:pos="9360"/>
        </w:tabs>
      </w:pPr>
      <w:r>
        <w:t>PART 3: Persistence, authored knowledge, and native presentation</w:t>
      </w:r>
      <w:r>
        <w:tab/>
        <w:t>16</w:t>
      </w:r>
    </w:p>
    <w:p>
      <w:pPr>
        <w:pStyle w:val="TOC2"/>
        <w:tabs>
          <w:tab w:val="right" w:leader="dot" w:pos="9360"/>
        </w:tabs>
      </w:pPr>
      <w:r>
        <w:t>12. SQLite store ownership, migrations, and transactions</w:t>
      </w:r>
      <w:r>
        <w:tab/>
        <w:t>16</w:t>
      </w:r>
    </w:p>
    <w:p>
      <w:pPr>
        <w:pStyle w:val="TOC2"/>
        <w:tabs>
          <w:tab w:val="right" w:leader="dot" w:pos="9360"/>
        </w:tabs>
      </w:pPr>
      <w:r>
        <w:t>13. Generations, source identity, and cached views</w:t>
      </w:r>
      <w:r>
        <w:tab/>
        <w:t>17</w:t>
      </w:r>
    </w:p>
    <w:p>
      <w:pPr>
        <w:pStyle w:val="TOC2"/>
        <w:tabs>
          <w:tab w:val="right" w:leader="dot" w:pos="9360"/>
        </w:tabs>
      </w:pPr>
      <w:r>
        <w:t>14. Authored revisions, links, and review state</w:t>
      </w:r>
      <w:r>
        <w:tab/>
        <w:t>18</w:t>
      </w:r>
    </w:p>
    <w:p>
      <w:pPr>
        <w:pStyle w:val="TOC2"/>
        <w:tabs>
          <w:tab w:val="right" w:leader="dot" w:pos="9360"/>
        </w:tabs>
      </w:pPr>
      <w:r>
        <w:t>15. Structured tasks, teaching cards, and personal progress</w:t>
      </w:r>
      <w:r>
        <w:tab/>
        <w:t>19</w:t>
      </w:r>
    </w:p>
    <w:p>
      <w:pPr>
        <w:pStyle w:val="TOC2"/>
        <w:tabs>
          <w:tab w:val="right" w:leader="dot" w:pos="9360"/>
        </w:tabs>
      </w:pPr>
      <w:r>
        <w:t>16. Pictures, artifacts, and anchored callouts</w:t>
      </w:r>
      <w:r>
        <w:tab/>
        <w:t>21</w:t>
      </w:r>
    </w:p>
    <w:p>
      <w:pPr>
        <w:pStyle w:val="TOC2"/>
        <w:tabs>
          <w:tab w:val="right" w:leader="dot" w:pos="9360"/>
        </w:tabs>
      </w:pPr>
      <w:r>
        <w:t>17. Learner projections and native binding</w:t>
      </w:r>
      <w:r>
        <w:tab/>
        <w:t>22</w:t>
      </w:r>
    </w:p>
    <w:p>
      <w:pPr>
        <w:pStyle w:val="TOC1"/>
        <w:tabs>
          <w:tab w:val="right" w:leader="dot" w:pos="9360"/>
        </w:tabs>
      </w:pPr>
      <w:r>
        <w:t>PART 4: Publication, search, and operational safety</w:t>
      </w:r>
      <w:r>
        <w:tab/>
        <w:t>24</w:t>
      </w:r>
    </w:p>
    <w:p>
      <w:pPr>
        <w:pStyle w:val="TOC2"/>
        <w:tabs>
          <w:tab w:val="right" w:leader="dot" w:pos="9360"/>
        </w:tabs>
      </w:pPr>
      <w:r>
        <w:t>18. Publication model and export contract</w:t>
      </w:r>
      <w:r>
        <w:tab/>
        <w:t>24</w:t>
      </w:r>
    </w:p>
    <w:p>
      <w:pPr>
        <w:pStyle w:val="TOC2"/>
        <w:tabs>
          <w:tab w:val="right" w:leader="dot" w:pos="9360"/>
        </w:tabs>
      </w:pPr>
      <w:r>
        <w:t>19. Search, browser navigation, and supporting integrations</w:t>
      </w:r>
      <w:r>
        <w:tab/>
        <w:t>25</w:t>
      </w:r>
    </w:p>
    <w:p>
      <w:pPr>
        <w:pStyle w:val="TOC1"/>
        <w:tabs>
          <w:tab w:val="right" w:leader="dot" w:pos="9360"/>
        </w:tabs>
      </w:pPr>
      <w:r>
        <w:t>PART 5: Building, testing, diagnosis, and release</w:t>
      </w:r>
      <w:r>
        <w:tab/>
        <w:t>26</w:t>
      </w:r>
    </w:p>
    <w:p>
      <w:pPr>
        <w:pStyle w:val="TOC2"/>
        <w:tabs>
          <w:tab w:val="right" w:leader="dot" w:pos="9360"/>
        </w:tabs>
      </w:pPr>
      <w:r>
        <w:t>20. Build environment and source layout</w:t>
      </w:r>
      <w:r>
        <w:tab/>
        <w:t>26</w:t>
      </w:r>
    </w:p>
    <w:p>
      <w:pPr>
        <w:pStyle w:val="TOC2"/>
        <w:tabs>
          <w:tab w:val="right" w:leader="dot" w:pos="9360"/>
        </w:tabs>
      </w:pPr>
      <w:r>
        <w:t>21. Meaningful test selection and execution</w:t>
      </w:r>
      <w:r>
        <w:tab/>
        <w:t>27</w:t>
      </w:r>
    </w:p>
    <w:p>
      <w:pPr>
        <w:pStyle w:val="TOC2"/>
        <w:tabs>
          <w:tab w:val="right" w:leader="dot" w:pos="9360"/>
        </w:tabs>
      </w:pPr>
      <w:r>
        <w:t>22. Package, deploy, and verify extracted copies</w:t>
      </w:r>
      <w:r>
        <w:tab/>
        <w:t>29</w:t>
      </w:r>
    </w:p>
    <w:p>
      <w:pPr>
        <w:pStyle w:val="TOC2"/>
        <w:tabs>
          <w:tab w:val="right" w:leader="dot" w:pos="9360"/>
        </w:tabs>
      </w:pPr>
      <w:r>
        <w:t>23. Diagnose failures at their owning layer</w:t>
      </w:r>
      <w:r>
        <w:tab/>
        <w:t>30</w:t>
      </w:r>
    </w:p>
    <w:p>
      <w:pPr>
        <w:pStyle w:val="TOC2"/>
        <w:tabs>
          <w:tab w:val="right" w:leader="dot" w:pos="9360"/>
        </w:tabs>
      </w:pPr>
      <w:r>
        <w:t>24. Maintain documentation as an engineering artifact</w:t>
      </w:r>
      <w:r>
        <w:tab/>
        <w:t>31</w:t>
      </w:r>
    </w:p>
    <w:p>
      <w:pPr>
        <w:pStyle w:val="TOC1"/>
        <w:tabs>
          <w:tab w:val="right" w:leader="dot" w:pos="9360"/>
        </w:tabs>
      </w:pPr>
      <w:r>
        <w:t>PART 6: Technical reference</w:t>
      </w:r>
      <w:r>
        <w:tab/>
        <w:t>32</w:t>
      </w:r>
    </w:p>
    <w:p>
      <w:pPr>
        <w:pStyle w:val="TOC2"/>
        <w:tabs>
          <w:tab w:val="right" w:leader="dot" w:pos="9360"/>
        </w:tabs>
      </w:pPr>
      <w:r>
        <w:t>25. Source units and public contracts</w:t>
      </w:r>
      <w:r>
        <w:tab/>
        <w:t>32</w:t>
      </w:r>
    </w:p>
    <w:p>
      <w:pPr>
        <w:pStyle w:val="TOC2"/>
        <w:tabs>
          <w:tab w:val="right" w:leader="dot" w:pos="9360"/>
        </w:tabs>
      </w:pPr>
      <w:r>
        <w:t>26. Persisted schema and migration reference</w:t>
      </w:r>
      <w:r>
        <w:tab/>
        <w:t>52</w:t>
      </w:r>
    </w:p>
    <w:p>
      <w:pPr>
        <w:pStyle w:val="TOC2"/>
        <w:tabs>
          <w:tab w:val="right" w:leader="dot" w:pos="9360"/>
        </w:tabs>
      </w:pPr>
      <w:r>
        <w:t>27. Engineering change and release checklists</w:t>
      </w:r>
      <w:r>
        <w:tab/>
        <w:t>59</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Save project lets the user create a permanent .dphdb at any time; its dialog defaults to the application's databases folder and suggests a dated filename when the original name is already used. The save flow verifies the new database and managed-view manifest before discarding the temporary capture, then displays the complete destination path. A failed save leaves the temporary capture available; an existing saved file is not overwritten. Closing or changing projects still offers Save, Discard, and Cancel while the capture remains temporary.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reads a selected project's root README and named guides, documents directly under docs, and documents under docs/guides, docs/pdf, and docs/notes. It does not descend into separate release, help, or archive directories; its limited image traversal is separate. It excludes unrelated root instructions and filters explicitly versioned document names when the root README identifies the current major version. An older saved document list is cleared before display when the discovery version changes, then rebuilt from the selected project.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Eligible public HTTPS pages from the selected project's sitemap.txt or documents may be contacted only when Read public websites is enabled; successfully fetched text is shown in the Learning library.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r>
        <w:t>The IDE-editable DPHProgressForm is a separate centered FMX window with a message, a time expectation, a progress bar, and a numeric percentage while the worker runs. The main form retains the preparation state controls and synchronizes them to the window on each worker response. TDPHSemanticPersistence.Stage reports completed symbol, relationship, and flow records to TDPHWorkspaceWorker, which carries percentages in TDPHWorkspaceResponse. TDPHUI.Main updates the serialized label and bar when responses arrive. The storage writer caches the active generation check and file-revision lookup only inside a fact transaction, then clears that state at commit or rollback; never reuse those cached facts across generations. A fresh v7 test capture on 16 October 2026 finished in 66.6 seconds with 24 local documents and three public pages; timing depends on hardware and selected content.</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A normal launch opens Getting started without loading the last database; only an explicit selection or .dphdb command-line argument opens a saved capture. If the recorded source entry is still available under the recorded root, the worker verifies its manifest, stale flag, and analyzer/discovery versions in the background; a stale flag, changed fingerprint, or changed version triggers an incremental scan. If unchanged, it reports verification without scanning again. Opening the source entry with Open application uses the same incremental comparison. It should not perform every expensive optional report merely because the form has serialized tabs for them. Build deeper projections on demand for their active destination.</w:t>
      </w:r>
    </w:p>
    <w:p>
      <w:r>
        <w:t>The dossier's no-project state is an HTML document in the existing WebView2 control, with its content kept under help/dossier-start.html. Opening a saved project replaces that introduction with TDPHHandoffDossier's source-backed HTML only after the document and knowledge response are ready; a plain memo is not used as the dossier. ProjectRoot opens an existing SQLite database for read and write because even its first SELECT may need to recover a hot rollback journal left by an interrupted writer. It checks that the database already exists before opening and does not create a new store during this lookup. Keep the database, rollback journal, and managed .views folder together through recovery. Test recovery on a disposable copy of owner data.</w:t>
      </w:r>
    </w:p>
    <w:p>
      <w:pPr>
        <w:pStyle w:val="Heading3"/>
      </w:pPr>
      <w:r>
        <w:t>6.2.1. What the dossier STALE label means</w:t>
      </w:r>
    </w:p>
    <w:p>
      <w:r>
        <w:t>RefreshLearning marks the document model stale when its source is detached. An attached capture with analysis_complete false is PARTIAL, not STALE; analysis_complete is true only when both syntax and semantic passes complete. DPH.Handoff.Dossier renders Static inspection only for every capture because it never executes the selected application. The store separately tracks analysis_stale for source changes, interrupted generations and reassessment. On an explicit saved-project open with source available, the worker now includes that flag in its background rescan decision; a successful current generation clears it. Unsupported syntax, unresolved connections, or missing material may still leave a refreshed capture PARTIAL. A detached saved capture remains marked STALE until its source can be verified.</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r>
        <w:t>The IDE-editable Rescan project button sends an incremental worker request for the attached entry and current selection. The worker compares the manifest, analyzer versions and selection hash, reuses unchanged findings, and rebuilds changed analysis. The centered progress form remains visible during the request. Rescan is disabled for detached captures and while work is in progress.</w:t>
      </w:r>
    </w:p>
    <w:p>
      <w:r>
        <w:t>The publication model copies the selected .dproj path properties DCC_UnitSearchPath, DCC_IncludePath, DCC_ResourcePath, DCC_Namespace, DCC_UnitOutputDir and DCC_ExeOutput into project_build_paths with source lines. The dossier derives a relative directory map from captured files. These are source declarations, not proof that Delphi IDE global Library or Browsing paths, vendor packages or client libraries are installed on another machine. A maintainer must confirm those external prerequisites.</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The form preview renderer includes the main screen with its initial tab and separates each saved TTabItem into its own design preview. It places a client-aligned panel below earlier top-aligned siblings and respects saved margins and padding before painting descendants. An unselected tab is still part of the saved design; IsSelected must not hide it from reconstruction.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Opening a saved project verifies the cached artifact and compares its captured manifest fingerprint, analyzer and discovery versions, and reading selection with the attached source. A partial capture remains marked stale for interpretation, but that flag alone must not cause an identical expensive scan on every open. Explicit reassessment, changed inputs, versions, or selection start a new scan. Preserve the partial qualification in the learner interface and exported evidence.</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The serialized ScreenshotModeCombo starts at Custom zoom with ScreenshotZoom set to 90 percent; Fit and Native pixels remain available. The lower evidence memo uses a compact height and does not repeat the help text above the image.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pPr>
        <w:pStyle w:val="Heading3"/>
      </w:pPr>
      <w:r>
        <w:t>17.3. Lazy optional reports</w:t>
      </w:r>
    </w:p>
    <w:p>
      <w:r>
        <w:t>WorkspacePageChange chooses the active projection. Saved open builds the actual Handoff dossier from the captured view and current knowledge, then clears preparation after its browser document loads. It does not substitute a short placeholder for the dossier. Report generation for hidden specialist tabs should not delay this page; graphs, generated form previews, quality reports and screen-history comparisons load when requested. The browser lifecycle must preserve the form's requested visibility after translation handling.</w:t>
      </w:r>
    </w:p>
    <w:p>
      <w:r>
        <w:t>The overview also links to Component dependencies, where serialized controls, captured class candidates and package references are qualified without guessing vendor or version. Data and operations links to Database connections and schema, shows starter FireDAC connection templates for InterBase, SQL Server and SQLite without real credentials, and lists captured unit-level variables. A declaration is not a measured runtime value or a successful connection. DAT's HTML translator now requires an exact translation for each prose node; it leaves an unmatched node whole instead of replacing isolated words. The Getting started page supplies complete German and Spanish prose and coherent English fallback for other locales until reviewed full-page translations exist. The current source bundles nine local project-prose models; only marked prose is translated, while Pascal code, paths, identifiers, and original evidence remain unchanged. The 0.8.0.10 Windows package retains the earlier German-only trial.</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Before opening the main form in the designer, install export/DAT-component-kit/DelphiProjectHandoff/DesignPackages/Win32/Release/DATLanguageManagerFMXDesign.bpl through Component &gt; Install Packages &gt; Add. Keep its runtime BPLs beside it. The checked-in DPROJ already includes dependencies/DelphiAppTranslation/source in its compiler search path; no separate dependency preparation command is required. rsvars.bat initializes BDS and compiler/library environment. dcc32 builds the Win32 console tests, while MSBuild builds the application configurations.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HTML dossier before and after opening a project, internal links and compact layout. With a separately supplied disposable large reference cache, it also exercises the full saved-project command and measures the time to a rendered dossier. DPH.Tests.Storage verifies that the initial project-root lookup recovers an interrupted SQLite journal. The learning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0.8.0.10 experimental desktop package contains the Win32 and Win64 Release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version value, including four-component experimental versions such as 0.8.0.10.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Handoff dossier names it, labels uncertainty, and links to source. Check that the other five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 AIndexFacts: Boolean = True);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AProgress: TProc&lt;Integer,Integer&gt; = nil):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ADocumentPages: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 xml:space="preserve">procedure SaveWorkspaceView(AGenerationID: Int64; const AJSON: string; </w:t>
      </w:r>
    </w:p>
    <w:p>
      <w:pPr>
        <w:spacing w:after="40" w:line="247" w:lineRule="auto"/>
      </w:pPr>
      <w:r>
        <w:rPr>
          <w:rFonts w:ascii="Consolas" w:hAnsi="Consolas"/>
          <w:sz w:val="18"/>
        </w:rPr>
        <w:t>ARefreshCapturedDocuments: Boolean = False);</w:t>
      </w:r>
    </w:p>
    <w:p>
      <w:pPr>
        <w:spacing w:after="40" w:line="247" w:lineRule="auto"/>
      </w:pPr>
      <w:r>
        <w:rPr>
          <w:rFonts w:ascii="Consolas" w:hAnsi="Consolas"/>
          <w:sz w:val="18"/>
        </w:rPr>
        <w:t xml:space="preserve">function LoadWorkspaceView(AGenerationID: Int64 = 0; ASkipGenerationParse: Boolean = False): </w:t>
      </w:r>
    </w:p>
    <w:p>
      <w:pPr>
        <w:spacing w:after="40" w:line="247" w:lineRule="auto"/>
      </w:pPr>
      <w:r>
        <w:rPr>
          <w:rFonts w:ascii="Consolas" w:hAnsi="Consolas"/>
          <w:sz w:val="18"/>
        </w:rPr>
        <w:t>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LearningBrowserDidFinishLoad(Sender: TObject);</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SaveProjectClick(Sender: TObject);</w:t>
      </w:r>
    </w:p>
    <w:p>
      <w:pPr>
        <w:spacing w:after="40" w:line="247" w:lineRule="auto"/>
      </w:pPr>
      <w:r>
        <w:rPr>
          <w:rFonts w:ascii="Consolas" w:hAnsi="Consolas"/>
          <w:sz w:val="18"/>
        </w:rPr>
        <w:t>procedure RescanProjectClick(Sender: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 ADeferInitialViews: Boolean = False);</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UI.Progress</w:t>
      </w:r>
    </w:p>
    <w:p>
      <w:r>
        <w:t>Source file: DPH.UI.Progress.pas. Defines the IDE-editable centered preparation window. The main form updates its stage message, progress bar and percentage from worker responses.</w:t>
      </w:r>
    </w:p>
    <w:p>
      <w:r>
        <w:t>Principal public types: TDPHProgressForm.</w:t>
      </w:r>
    </w:p>
    <w:p>
      <w:r>
        <w:t>This unit exposes shared data types/constants; inspect its declarations for the exact fields and current version values.</w:t>
      </w:r>
    </w:p>
    <w:p>
      <w:pPr>
        <w:pStyle w:val="Heading3"/>
      </w:pPr>
      <w:r>
        <w:t>25.39.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25.40.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25.41.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25.42.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25.43.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25.44.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25.45.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25.46.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25.47.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25.48.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25.49.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25.50.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25.51.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25.52.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25.53.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25.54.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25.55.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59  |  18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