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Experimental release 0.8.0.3  |  Guide edition 52</w:t>
      </w:r>
    </w:p>
    <w:p>
      <w:r>
        <w:t>Last changed 16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10</w:t>
      </w:r>
    </w:p>
    <w:p>
      <w:pPr>
        <w:pStyle w:val="TOC2"/>
        <w:tabs>
          <w:tab w:val="right" w:leader="dot" w:pos="9360"/>
        </w:tabs>
      </w:pPr>
      <w:r>
        <w:t>7. Source bytes, ranges, and safe acquisition</w:t>
      </w:r>
      <w:r>
        <w:tab/>
        <w:t>10</w:t>
      </w:r>
    </w:p>
    <w:p>
      <w:pPr>
        <w:pStyle w:val="TOC2"/>
        <w:tabs>
          <w:tab w:val="right" w:leader="dot" w:pos="9360"/>
        </w:tabs>
      </w:pPr>
      <w:r>
        <w:t>8. Project inventory and reading configuration</w:t>
      </w:r>
      <w:r>
        <w:tab/>
        <w:t>11</w:t>
      </w:r>
    </w:p>
    <w:p>
      <w:pPr>
        <w:pStyle w:val="TOC2"/>
        <w:tabs>
          <w:tab w:val="right" w:leader="dot" w:pos="9360"/>
        </w:tabs>
      </w:pPr>
      <w:r>
        <w:t>9. Lexer, preprocessing, and intermediate representation</w:t>
      </w:r>
      <w:r>
        <w:tab/>
        <w:t>12</w:t>
      </w:r>
    </w:p>
    <w:p>
      <w:pPr>
        <w:pStyle w:val="TOC2"/>
        <w:tabs>
          <w:tab w:val="right" w:leader="dot" w:pos="9360"/>
        </w:tabs>
      </w:pPr>
      <w:r>
        <w:t>10. Pascal, forms, and resource parsing</w:t>
      </w:r>
      <w:r>
        <w:tab/>
        <w:t>13</w:t>
      </w:r>
    </w:p>
    <w:p>
      <w:pPr>
        <w:pStyle w:val="TOC2"/>
        <w:tabs>
          <w:tab w:val="right" w:leader="dot" w:pos="9360"/>
        </w:tabs>
      </w:pPr>
      <w:r>
        <w:t>11. Symbols, resolution, control flow, and focused analyses</w:t>
      </w:r>
      <w:r>
        <w:tab/>
        <w:t>14</w:t>
      </w:r>
    </w:p>
    <w:p>
      <w:pPr>
        <w:pStyle w:val="TOC1"/>
        <w:tabs>
          <w:tab w:val="right" w:leader="dot" w:pos="9360"/>
        </w:tabs>
      </w:pPr>
      <w:r>
        <w:t>PART 3: Persistence, authored knowledge, and native presentation</w:t>
      </w:r>
      <w:r>
        <w:tab/>
        <w:t>15</w:t>
      </w:r>
    </w:p>
    <w:p>
      <w:pPr>
        <w:pStyle w:val="TOC2"/>
        <w:tabs>
          <w:tab w:val="right" w:leader="dot" w:pos="9360"/>
        </w:tabs>
      </w:pPr>
      <w:r>
        <w:t>12. SQLite store ownership, migrations, and transactions</w:t>
      </w:r>
      <w:r>
        <w:tab/>
        <w:t>15</w:t>
      </w:r>
    </w:p>
    <w:p>
      <w:pPr>
        <w:pStyle w:val="TOC2"/>
        <w:tabs>
          <w:tab w:val="right" w:leader="dot" w:pos="9360"/>
        </w:tabs>
      </w:pPr>
      <w:r>
        <w:t>13. Generations, source identity, and cached views</w:t>
      </w:r>
      <w:r>
        <w:tab/>
        <w:t>16</w:t>
      </w:r>
    </w:p>
    <w:p>
      <w:pPr>
        <w:pStyle w:val="TOC2"/>
        <w:tabs>
          <w:tab w:val="right" w:leader="dot" w:pos="9360"/>
        </w:tabs>
      </w:pPr>
      <w:r>
        <w:t>14. Authored revisions, links, and review state</w:t>
      </w:r>
      <w:r>
        <w:tab/>
        <w:t>17</w:t>
      </w:r>
    </w:p>
    <w:p>
      <w:pPr>
        <w:pStyle w:val="TOC2"/>
        <w:tabs>
          <w:tab w:val="right" w:leader="dot" w:pos="9360"/>
        </w:tabs>
      </w:pPr>
      <w:r>
        <w:t>15. Structured tasks, teaching cards, and personal progress</w:t>
      </w:r>
      <w:r>
        <w:tab/>
        <w:t>18</w:t>
      </w:r>
    </w:p>
    <w:p>
      <w:pPr>
        <w:pStyle w:val="TOC2"/>
        <w:tabs>
          <w:tab w:val="right" w:leader="dot" w:pos="9360"/>
        </w:tabs>
      </w:pPr>
      <w:r>
        <w:t>16. Pictures, artifacts, and anchored callouts</w:t>
      </w:r>
      <w:r>
        <w:tab/>
        <w:t>20</w:t>
      </w:r>
    </w:p>
    <w:p>
      <w:pPr>
        <w:pStyle w:val="TOC2"/>
        <w:tabs>
          <w:tab w:val="right" w:leader="dot" w:pos="9360"/>
        </w:tabs>
      </w:pPr>
      <w:r>
        <w:t>17. Learner projections and native binding</w:t>
      </w:r>
      <w:r>
        <w:tab/>
        <w:t>21</w:t>
      </w:r>
    </w:p>
    <w:p>
      <w:pPr>
        <w:pStyle w:val="TOC1"/>
        <w:tabs>
          <w:tab w:val="right" w:leader="dot" w:pos="9360"/>
        </w:tabs>
      </w:pPr>
      <w:r>
        <w:t>PART 4: Publication, search, and operational safety</w:t>
      </w:r>
      <w:r>
        <w:tab/>
        <w:t>22</w:t>
      </w:r>
    </w:p>
    <w:p>
      <w:pPr>
        <w:pStyle w:val="TOC2"/>
        <w:tabs>
          <w:tab w:val="right" w:leader="dot" w:pos="9360"/>
        </w:tabs>
      </w:pPr>
      <w:r>
        <w:t>18. Publication model and export contract</w:t>
      </w:r>
      <w:r>
        <w:tab/>
        <w:t>22</w:t>
      </w:r>
    </w:p>
    <w:p>
      <w:pPr>
        <w:pStyle w:val="TOC2"/>
        <w:tabs>
          <w:tab w:val="right" w:leader="dot" w:pos="9360"/>
        </w:tabs>
      </w:pPr>
      <w:r>
        <w:t>19. Search, browser navigation, and supporting integrations</w:t>
      </w:r>
      <w:r>
        <w:tab/>
        <w:t>24</w:t>
      </w:r>
    </w:p>
    <w:p>
      <w:pPr>
        <w:pStyle w:val="TOC1"/>
        <w:tabs>
          <w:tab w:val="right" w:leader="dot" w:pos="9360"/>
        </w:tabs>
      </w:pPr>
      <w:r>
        <w:t>PART 5: Building, testing, diagnosis, and release</w:t>
      </w:r>
      <w:r>
        <w:tab/>
        <w:t>25</w:t>
      </w:r>
    </w:p>
    <w:p>
      <w:pPr>
        <w:pStyle w:val="TOC2"/>
        <w:tabs>
          <w:tab w:val="right" w:leader="dot" w:pos="9360"/>
        </w:tabs>
      </w:pPr>
      <w:r>
        <w:t>20. Build environment and source layout</w:t>
      </w:r>
      <w:r>
        <w:tab/>
        <w:t>25</w:t>
      </w:r>
    </w:p>
    <w:p>
      <w:pPr>
        <w:pStyle w:val="TOC2"/>
        <w:tabs>
          <w:tab w:val="right" w:leader="dot" w:pos="9360"/>
        </w:tabs>
      </w:pPr>
      <w:r>
        <w:t>21. Meaningful test selection and execution</w:t>
      </w:r>
      <w:r>
        <w:tab/>
        <w:t>26</w:t>
      </w:r>
    </w:p>
    <w:p>
      <w:pPr>
        <w:pStyle w:val="TOC2"/>
        <w:tabs>
          <w:tab w:val="right" w:leader="dot" w:pos="9360"/>
        </w:tabs>
      </w:pPr>
      <w:r>
        <w:t>22. Package, deploy, and verify extracted copies</w:t>
      </w:r>
      <w:r>
        <w:tab/>
        <w:t>27</w:t>
      </w:r>
    </w:p>
    <w:p>
      <w:pPr>
        <w:pStyle w:val="TOC2"/>
        <w:tabs>
          <w:tab w:val="right" w:leader="dot" w:pos="9360"/>
        </w:tabs>
      </w:pPr>
      <w:r>
        <w:t>23. Diagnose failures at their owning layer</w:t>
      </w:r>
      <w:r>
        <w:tab/>
        <w:t>29</w:t>
      </w:r>
    </w:p>
    <w:p>
      <w:pPr>
        <w:pStyle w:val="TOC2"/>
        <w:tabs>
          <w:tab w:val="right" w:leader="dot" w:pos="9360"/>
        </w:tabs>
      </w:pPr>
      <w:r>
        <w:t>24. Maintain documentation as an engineering artifact</w:t>
      </w:r>
      <w:r>
        <w:tab/>
        <w:t>30</w:t>
      </w:r>
    </w:p>
    <w:p>
      <w:pPr>
        <w:pStyle w:val="TOC1"/>
        <w:tabs>
          <w:tab w:val="right" w:leader="dot" w:pos="9360"/>
        </w:tabs>
      </w:pPr>
      <w:r>
        <w:t>PART 6: Technical reference</w:t>
      </w:r>
      <w:r>
        <w:tab/>
        <w:t>31</w:t>
      </w:r>
    </w:p>
    <w:p>
      <w:pPr>
        <w:pStyle w:val="TOC2"/>
        <w:tabs>
          <w:tab w:val="right" w:leader="dot" w:pos="9360"/>
        </w:tabs>
      </w:pPr>
      <w:r>
        <w:t>25. Source units and public contracts</w:t>
      </w:r>
      <w:r>
        <w:tab/>
        <w:t>31</w:t>
      </w:r>
    </w:p>
    <w:p>
      <w:pPr>
        <w:pStyle w:val="TOC2"/>
        <w:tabs>
          <w:tab w:val="right" w:leader="dot" w:pos="9360"/>
        </w:tabs>
      </w:pPr>
      <w:r>
        <w:t>26. Persisted schema and migration reference</w:t>
      </w:r>
      <w:r>
        <w:tab/>
        <w:t>50</w:t>
      </w:r>
    </w:p>
    <w:p>
      <w:pPr>
        <w:pStyle w:val="TOC2"/>
        <w:tabs>
          <w:tab w:val="right" w:leader="dot" w:pos="9360"/>
        </w:tabs>
      </w:pPr>
      <w:r>
        <w:t>27. Engineering change and release checklists</w:t>
      </w:r>
      <w:r>
        <w:tab/>
        <w:t>57</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prepare an evidence-based maintenance handoff for one unfamiliar Delphi application. It reads project, source and form material; persists captured facts and attributed knowledge; presents a handoff dossier and specialist views;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workflow has six tabs: Getting started, Handoff dossier, Learning library, Project map, Screenshots, and Application diagrams. Open application starts a temporary source capture; closing or changing projects offers Save, Discard, and Cancel before a permanent .dphdb is created. Open saved project restores a .dphdb and its adjacent .views folder. DPH.Handoff.Dossier renders the four dossier sections from the selected publication model; the renderer does not execute source or turn an inferred relationship into an observed result. Form-preview generation is deferred until Screenshots is opened to reduce the cost of restoring a saved project.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scans eligible documents only within the selected project directory. It bounds traversal and samples documents and logs before building Learning library entries.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Referenced public HTTPS pages may be contacted only when Read public websites is enabled. Discovery rejects private IPv4 resolutions and uses WinHTTP's request-level hostname-resolution override to pin the connection to the checked public IPv4 address while retaining the original host for TLS verification. It uses no proxy, disables redirects, cookies, and authentication, and caps responses at 128 KiB. If the Windows 10 21H1-or-later override is unavailable, the request fails closed. Network isolation still needs controlled adversarial testing before a production release.</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Handoff dossier is then rendered from that captured view and current knowledge. A failure before publication must leave the earlier published head available.</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A normal launch opens Getting started without loading the last database; only an explicit selection or .dphdb command-line argument opens a saved capture. If the recorded source entry is still available under the recorded root, the worker verifies its manifest, stale flag, and analyzer/discovery versions in the background; a stale flag, changed fingerprint, or changed version triggers an incremental scan. If unchanged, it reports verification without scanning again. Opening the source entry with Open application uses the same incremental comparison. It should not perform every expensive optional report merely because the form has serialized tabs for them. Build deeper projections on demand for their active destination.</w:t>
      </w:r>
    </w:p>
    <w:p>
      <w:pPr>
        <w:pStyle w:val="Heading3"/>
      </w:pPr>
      <w:r>
        <w:t>6.2.1. What the dossier STALE label means</w:t>
      </w:r>
    </w:p>
    <w:p>
      <w:r>
        <w:t>RefreshLearning marks the document model stale when its source is detached. An attached capture with analysis_complete false is PARTIAL, not STALE; analysis_complete is true only when both syntax and semantic passes complete. DPH.Handoff.Dossier renders Static inspection only for every capture because it never executes the selected application. The store separately tracks analysis_stale for source changes, interrupted generations and reassessment. On an explicit saved-project open with source available, the worker now includes that flag in its background rescan decision; a successful current generation clears it. Unsupported syntax, unresolved connections, or missing material may still leave a refreshed capture PARTIAL. A detached saved capture remains marked STALE until its source can be verified.</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portable edition now includes handoff-0.html through handoff-3.html from the same scoped, redacted document model as the older learning.html. The native export preview still opens the older learning page, so its default preview flow remains to be aligned with the dossier. A consistent technical index does not establish human instructional quality. Test the handoff,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The form preview renderer separates each saved TTabItem into its own design preview and normalizes that tab's offset before painting descendants. An unselected tab is still part of the saved design; IsSelected must not hide it from reconstruction.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Opening a saved project verifies the cached artifact and compares its captured manifest fingerprint, analyzer and discovery versions, and reading selection with the attached source. A partial capture remains marked stale for interpretation, but that flag alone must not cause an identical expensive scan on every open. Explicit reassessment, changed inputs, versions, or selection start a new scan. Preserve the partial qualification in the learner interface and exported evidence.</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The serialized ScreenshotModeCombo starts in Native pixels; Fit and custom zoom change the display transform. The lower evidence memo uses a compact height and does not repeat the help text above the image.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Handoff dossier and legacy explanations</w:t>
      </w:r>
    </w:p>
    <w:p>
      <w:r>
        <w:t>TDPHHandoffDossier.Render produces four native handoff pages from the selected, locally displayed document model: Handoff overview, Commands and workflows, Data and operations, and Risks and open questions. The renderer bounds each list, escapes source text, links to captured objects and records, and marks unreviewed or stale facts. It presents form registration and event bindings as static evidence, not observed user workflows. DPH.UI.Main.fmx serializes the native page labels so they remain IDE-editable.</w:t>
      </w:r>
    </w:p>
    <w:p>
      <w:r>
        <w:t>TDPHExplanationModel.ApplicationRouteHTML still produces the older four-part learning edition used by export and several specialist views. It is retained for compatibility beside the exported handoff pages. Its authored tasks and teaching cards remain accessible; the Handoff dossier does not reclassify them as verified behavior. ObjectLessonHTML introduces role and relevant purpose, actual conditions and bounded next connections, then keeps the deeper code walkthrough optional. It must exclude rejected or retired content and preserve unresolved questions.</w:t>
      </w:r>
    </w:p>
    <w:p>
      <w:pPr>
        <w:pStyle w:val="Heading3"/>
      </w:pPr>
      <w:r>
        <w:t>17.3. Lazy optional reports</w:t>
      </w:r>
    </w:p>
    <w:p>
      <w:r>
        <w:t>WorkspacePageChange chooses the active projection. Report generation for hidden specialist tabs should not delay opening the Handoff dossier. Refresh routines must distinguish loading the base view from building graphs, generated form previews, quality reports or screen-history comparisons on demand.</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The four handoff-N.html pages are generated from the scoped publication model and link to included object pages and the technical index. learning.html retains the earlier four-part learner route, authored tasks, examples, questions, terms and supplied images. The index and README direct recipients to the handoff first. Hash-named object pages provide linked explanations with optional source detail;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rsvars.bat initializes BDS and compiler/library environment. dcc32 builds the current Win32 application and console tests, while the application project build script invokes MSBuild with Debug and Win32.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route title, internal links, text fallback and compact layout. The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0.8.0.3 experimental desktop package contains the Win32 and Win64 Release DelphiProjectHandoff.exe builds, a WebView2Loader.dll beside each, offline language packs, the German trial model, migrations, help, current guides, directions, DPH's Apache 2.0 license, and third-party notices. It does not include an owner .dphdb, private document copies, or reference-project working stores. A previously created package is a historical build and must not be presented as the current executable. The unmodified Bergamot model is attributed under CC BY-SA 4.0, with its license text and indexed file hashes included in the package.</w:t>
      </w:r>
    </w:p>
    <w:p>
      <w:r>
        <w:t>The editable source distribution is the primary public delivery. It includes the project and forms, source, pinned translation dependency, guides and their source and illustrations, tests, and the OrderPractice example. That example is for reproducible development checks; it is not an imported lesson for an arbitrary selected application.</w:t>
      </w:r>
    </w:p>
    <w:p>
      <w:pPr>
        <w:pStyle w:val="Heading3"/>
      </w:pPr>
      <w:r>
        <w:t>22.2. Run the packager deliberately</w:t>
      </w:r>
    </w:p>
    <w:p>
      <w:pPr>
        <w:keepLines/>
        <w:ind w:left="317" w:hanging="317"/>
      </w:pPr>
      <w:r>
        <w:rPr>
          <w:b/>
        </w:rPr>
        <w:t xml:space="preserve">1. </w:t>
      </w:r>
      <w:r>
        <w:t>Complete the code and document validation and build current Win32 and Win64 Debug and Release executables.</w:t>
      </w:r>
    </w:p>
    <w:p>
      <w:pPr>
        <w:keepLines/>
        <w:ind w:left="317" w:hanging="317"/>
      </w:pPr>
      <w:r>
        <w:rPr>
          <w:b/>
        </w:rPr>
        <w:t xml:space="preserve">2. </w:t>
      </w:r>
      <w:r>
        <w:t>Review the exact source files and guide illustrations to distribute. Run tools\package-source-distribution.ps1 with a fresh version value, including four-component experimental versions such as 0.8.0.3. It verifies every source file hash and refuses an existing archive name.</w:t>
      </w:r>
    </w:p>
    <w:p>
      <w:pPr>
        <w:keepLines/>
        <w:ind w:left="317" w:hanging="317"/>
      </w:pPr>
      <w:r>
        <w:rPr>
          <w:b/>
        </w:rPr>
        <w:t xml:space="preserve">3. </w:t>
      </w:r>
      <w:r>
        <w:t>Extract the source ZIP into a fresh directory and build it. Check that the example, documentation source, 35 language packs, form resources, and guide illustrations are present.</w:t>
      </w:r>
    </w:p>
    <w:p>
      <w:pPr>
        <w:keepLines/>
        <w:ind w:left="317" w:hanging="317"/>
      </w:pPr>
      <w:r>
        <w:rPr>
          <w:b/>
        </w:rPr>
        <w:t xml:space="preserve">4. </w:t>
      </w:r>
      <w:r>
        <w:t>If a ready-to-run experimental Windows package is also offered, run tools\package-dph.ps1 with the same version after the source and executable agree. Verify its extraction, hashes, and launch separately.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a newly made binary ZIP to a new writable location. Verify every SHA256.json entry against extracted bytes. Check required migrations, current manuals, local help and loader. Start the extracted executable, confirm a responsive native window and normal close, then select a disposable Delphi project and verify that Handoff dossier names it, labels uncertainty, and links to source. Check that the other five tabs open their findings and that Screenshots generates previews when selected.</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 Check the source ZIP's SHA256.txt entries against extracted files.</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Handoff.Dossier</w:t>
      </w:r>
    </w:p>
    <w:p>
      <w:r>
        <w:t>Source file: DPH.Handoff.Dossier.pas. Renders the selected capture as a four-part, source-linked maintenance handoff. Distinguish extracted facts, author statements, reading guidance and unresolved questions.</w:t>
      </w:r>
    </w:p>
    <w:p>
      <w:r>
        <w:t>Principal public types: TDPHHandoffDossier.</w:t>
      </w:r>
    </w:p>
    <w:p>
      <w:pPr>
        <w:spacing w:after="40" w:line="247" w:lineRule="auto"/>
      </w:pPr>
      <w:r>
        <w:rPr>
          <w:rFonts w:ascii="Consolas" w:hAnsi="Consolas"/>
          <w:sz w:val="18"/>
        </w:rPr>
        <w:t>class function Render(AFacts: TJSONObject; APage: Integer; AExport: Boolean = False): string;</w:t>
      </w:r>
    </w:p>
    <w:p>
      <w:pPr>
        <w:pStyle w:val="Heading3"/>
      </w:pPr>
      <w:r>
        <w:t>25.11.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25.12.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25.13.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25.14.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25.15.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 AAllowInternet: Boolean);</w:t>
      </w:r>
    </w:p>
    <w:p>
      <w:pPr>
        <w:pStyle w:val="Heading3"/>
      </w:pPr>
      <w:r>
        <w:t>25.16.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25.17.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25.18.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25.19.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25.20.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25.21.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25.22.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25.23.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25.24.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25.25.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Boolean;</w:t>
      </w:r>
    </w:p>
    <w:p>
      <w:pPr>
        <w:pStyle w:val="Heading3"/>
      </w:pPr>
      <w:r>
        <w:t>25.26.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25.27.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25.28. Publish.OfflinePreview</w:t>
      </w:r>
    </w:p>
    <w:p>
      <w:r>
        <w:t>Source file: DPH.Publish.OfflinePreview.pas. Serves the local preview and bundled German translation assets over loopback. It must not expose the selected project to an external network interface.</w:t>
      </w:r>
    </w:p>
    <w:p>
      <w:r>
        <w:t>Principal public types: TDPHOfflinePreview.</w:t>
      </w:r>
    </w:p>
    <w:p>
      <w:pPr>
        <w:spacing w:after="40" w:line="247" w:lineRule="auto"/>
      </w:pPr>
      <w:r>
        <w:rPr>
          <w:rFonts w:ascii="Consolas" w:hAnsi="Consolas"/>
          <w:sz w:val="18"/>
        </w:rPr>
        <w:t>constructor Create(const APagesDirectory, AAssetsDirectory: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URLForPage(const APagePath: string): string;</w:t>
      </w:r>
    </w:p>
    <w:p>
      <w:pPr>
        <w:spacing w:after="40" w:line="247" w:lineRule="auto"/>
      </w:pPr>
      <w:r>
        <w:rPr>
          <w:rFonts w:ascii="Consolas" w:hAnsi="Consolas"/>
          <w:sz w:val="18"/>
        </w:rPr>
        <w:t>function ScriptURL: string;</w:t>
      </w:r>
    </w:p>
    <w:p>
      <w:pPr>
        <w:spacing w:after="40" w:line="247" w:lineRule="auto"/>
      </w:pPr>
      <w:r>
        <w:rPr>
          <w:rFonts w:ascii="Consolas" w:hAnsi="Consolas"/>
          <w:sz w:val="18"/>
        </w:rPr>
        <w:t>function Allows(const AURL, APageDirectory: string): Boolean;</w:t>
      </w:r>
    </w:p>
    <w:p>
      <w:pPr>
        <w:pStyle w:val="Heading3"/>
      </w:pPr>
      <w:r>
        <w:t>25.29.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25.30.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25.31.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procedure SaveWorkspaceView(AGenerationID: Int64; const AJSON: string);</w:t>
      </w:r>
    </w:p>
    <w:p>
      <w:pPr>
        <w:spacing w:after="40" w:line="247" w:lineRule="auto"/>
      </w:pPr>
      <w:r>
        <w:rPr>
          <w:rFonts w:ascii="Consolas" w:hAnsi="Consolas"/>
          <w:sz w:val="18"/>
        </w:rPr>
        <w:t xml:space="preserve">function LoadWorkspaceView(AGenerationID: Int64 = 0; ASkipGenerationParse: Boolean = False): </w:t>
      </w:r>
    </w:p>
    <w:p>
      <w:pPr>
        <w:spacing w:after="40" w:line="247" w:lineRule="auto"/>
      </w:pPr>
      <w:r>
        <w:rPr>
          <w:rFonts w:ascii="Consolas" w:hAnsi="Consolas"/>
          <w:sz w:val="18"/>
        </w:rPr>
        <w:t>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25.32.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25.33.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25.37.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ScreenshotReturnClick(Sender: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CloseButtonClick(Sender: TObject);</w:t>
      </w:r>
    </w:p>
    <w:p>
      <w:pPr>
        <w:spacing w:after="40" w:line="247" w:lineRule="auto"/>
      </w:pPr>
      <w:r>
        <w:rPr>
          <w:rFonts w:ascii="Consolas" w:hAnsi="Consolas"/>
          <w:sz w:val="18"/>
        </w:rPr>
        <w:t>procedure AllowInternetChange(Sender: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 AUnsaved: Boolean = False);</w:t>
      </w:r>
    </w:p>
    <w:p>
      <w:pPr>
        <w:spacing w:after="40" w:line="247" w:lineRule="auto"/>
      </w:pPr>
      <w:r>
        <w:rPr>
          <w:rFonts w:ascii="Consolas" w:hAnsi="Consolas"/>
          <w:sz w:val="18"/>
        </w:rPr>
        <w:t xml:space="preserve">procedure LoadView(ADocument: TJSONObject; AScreenshots: TJSONArray = nil; ADeferLearning: </w:t>
      </w:r>
    </w:p>
    <w:p>
      <w:pPr>
        <w:spacing w:after="40" w:line="247" w:lineRule="auto"/>
      </w:pPr>
      <w:r>
        <w:rPr>
          <w:rFonts w:ascii="Consolas" w:hAnsi="Consolas"/>
          <w:sz w:val="18"/>
        </w:rPr>
        <w:t>Boolean = False);</w:t>
      </w:r>
    </w:p>
    <w:p>
      <w:pPr>
        <w:spacing w:after="40" w:line="247" w:lineRule="auto"/>
      </w:pPr>
      <w:r>
        <w:rPr>
          <w:rFonts w:ascii="Consolas" w:hAnsi="Consolas"/>
          <w:sz w:val="18"/>
        </w:rPr>
        <w:t>procedure LoadKnowledge(ARows: TJSONArray; ADeferInitialViews: Boolean = False);</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25.38.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25.39.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25.40.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25.41.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25.42.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25.43.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25.44.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25.45.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25.46.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25.47.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25.48.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25.49.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25.50.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25.51.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25.52.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25.53.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25.54.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52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