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47</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12</w:t>
      </w:r>
    </w:p>
    <w:p>
      <w:pPr>
        <w:pStyle w:val="TOC2"/>
        <w:tabs>
          <w:tab w:val="right" w:leader="dot" w:pos="9360"/>
        </w:tabs>
      </w:pPr>
      <w:r>
        <w:t>11. Symbols, resolution, control flow, and focused analyses</w:t>
      </w:r>
      <w:r>
        <w:tab/>
        <w:t>13</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23</w:t>
      </w:r>
    </w:p>
    <w:p>
      <w:pPr>
        <w:pStyle w:val="TOC1"/>
        <w:tabs>
          <w:tab w:val="right" w:leader="dot" w:pos="9360"/>
        </w:tabs>
      </w:pPr>
      <w:r>
        <w:t>PART 5: Building, testing, diagnosis, and release</w:t>
      </w:r>
      <w:r>
        <w:tab/>
        <w:t>24</w:t>
      </w:r>
    </w:p>
    <w:p>
      <w:pPr>
        <w:pStyle w:val="TOC2"/>
        <w:tabs>
          <w:tab w:val="right" w:leader="dot" w:pos="9360"/>
        </w:tabs>
      </w:pPr>
      <w:r>
        <w:t>20. Build environment and source layout</w:t>
      </w:r>
      <w:r>
        <w:tab/>
        <w:t>24</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28</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It should not perform every expensive optional report merely because the form has serialized tabs for them. Build deeper projections on demand for their active destination.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47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