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Architecture and boundaries</w:t>
      </w:r>
      <w:r>
        <w:rPr>
          <w:sz w:val="22"/>
        </w:rPr>
        <w:tab/>
        <w:t>4</w:t>
      </w:r>
    </w:p>
    <w:p>
      <w:pPr>
        <w:spacing w:after="0" w:line="240" w:lineRule="auto"/>
        <w:tabs>
          <w:tab w:val="right" w:leader="dot" w:pos="9360"/>
        </w:tabs>
      </w:pPr>
      <w:r>
        <w:rPr>
          <w:sz w:val="22"/>
        </w:rPr>
        <w:t>Rework and acceptance status</w:t>
      </w:r>
      <w:r>
        <w:rPr>
          <w:sz w:val="22"/>
        </w:rPr>
        <w:tab/>
        <w:t>4</w:t>
      </w:r>
    </w:p>
    <w:p>
      <w:pPr>
        <w:spacing w:after="0" w:line="240" w:lineRule="auto"/>
        <w:tabs>
          <w:tab w:val="right" w:leader="dot" w:pos="9360"/>
        </w:tabs>
      </w:pPr>
      <w:r>
        <w:rPr>
          <w:sz w:val="22"/>
        </w:rPr>
        <w:t>Build and deployment</w:t>
      </w:r>
      <w:r>
        <w:rPr>
          <w:sz w:val="22"/>
        </w:rPr>
        <w:tab/>
        <w:t>4</w:t>
      </w:r>
    </w:p>
    <w:p>
      <w:pPr>
        <w:spacing w:after="0" w:line="240" w:lineRule="auto"/>
        <w:tabs>
          <w:tab w:val="right" w:leader="dot" w:pos="9360"/>
        </w:tabs>
      </w:pPr>
      <w:r>
        <w:rPr>
          <w:sz w:val="22"/>
        </w:rPr>
        <w:t>Input acquisition and project scope</w:t>
      </w:r>
      <w:r>
        <w:rPr>
          <w:sz w:val="22"/>
        </w:rPr>
        <w:tab/>
        <w:t>5</w:t>
      </w:r>
    </w:p>
    <w:p>
      <w:pPr>
        <w:spacing w:after="0" w:line="240" w:lineRule="auto"/>
        <w:tabs>
          <w:tab w:val="right" w:leader="dot" w:pos="9360"/>
        </w:tabs>
      </w:pPr>
      <w:r>
        <w:rPr>
          <w:sz w:val="22"/>
        </w:rPr>
        <w:t>Syntax contracts and limits</w:t>
      </w:r>
      <w:r>
        <w:rPr>
          <w:sz w:val="22"/>
        </w:rPr>
        <w:tab/>
        <w:t>5</w:t>
      </w:r>
    </w:p>
    <w:p>
      <w:pPr>
        <w:spacing w:after="0" w:line="240" w:lineRule="auto"/>
        <w:tabs>
          <w:tab w:val="right" w:leader="dot" w:pos="9360"/>
        </w:tabs>
      </w:pPr>
      <w:r>
        <w:rPr>
          <w:sz w:val="22"/>
        </w:rPr>
        <w:t>Symbols and typed relationships</w:t>
      </w:r>
      <w:r>
        <w:rPr>
          <w:sz w:val="22"/>
        </w:rPr>
        <w:tab/>
        <w:t>5</w:t>
      </w:r>
    </w:p>
    <w:p>
      <w:pPr>
        <w:spacing w:after="0" w:line="240" w:lineRule="auto"/>
        <w:tabs>
          <w:tab w:val="right" w:leader="dot" w:pos="9360"/>
        </w:tabs>
      </w:pPr>
      <w:r>
        <w:rPr>
          <w:sz w:val="22"/>
        </w:rPr>
        <w:t>Control flow and impact</w:t>
      </w:r>
      <w:r>
        <w:rPr>
          <w:sz w:val="22"/>
        </w:rPr>
        <w:tab/>
        <w:t>6</w:t>
      </w:r>
    </w:p>
    <w:p>
      <w:pPr>
        <w:spacing w:after="0" w:line="240" w:lineRule="auto"/>
        <w:tabs>
          <w:tab w:val="right" w:leader="dot" w:pos="9360"/>
        </w:tabs>
      </w:pPr>
      <w:r>
        <w:rPr>
          <w:sz w:val="22"/>
        </w:rPr>
        <w:t>SQLite generations and durability</w:t>
      </w:r>
      <w:r>
        <w:rPr>
          <w:sz w:val="22"/>
        </w:rPr>
        <w:tab/>
        <w:t>6</w:t>
      </w:r>
    </w:p>
    <w:p>
      <w:pPr>
        <w:spacing w:after="0" w:line="240" w:lineRule="auto"/>
        <w:tabs>
          <w:tab w:val="right" w:leader="dot" w:pos="9360"/>
        </w:tabs>
      </w:pPr>
      <w:r>
        <w:rPr>
          <w:sz w:val="22"/>
        </w:rPr>
        <w:t>Evidence and immutable history</w:t>
      </w:r>
      <w:r>
        <w:rPr>
          <w:sz w:val="22"/>
        </w:rPr>
        <w:tab/>
        <w:t>6</w:t>
      </w:r>
    </w:p>
    <w:p>
      <w:pPr>
        <w:spacing w:after="0" w:line="240" w:lineRule="auto"/>
        <w:tabs>
          <w:tab w:val="right" w:leader="dot" w:pos="9360"/>
        </w:tabs>
      </w:pPr>
      <w:r>
        <w:rPr>
          <w:sz w:val="22"/>
        </w:rPr>
        <w:t>Background coordination and cached views</w:t>
      </w:r>
      <w:r>
        <w:rPr>
          <w:sz w:val="22"/>
        </w:rPr>
        <w:tab/>
        <w:t>7</w:t>
      </w:r>
    </w:p>
    <w:p>
      <w:pPr>
        <w:spacing w:after="0" w:line="240" w:lineRule="auto"/>
        <w:tabs>
          <w:tab w:val="right" w:leader="dot" w:pos="9360"/>
        </w:tabs>
      </w:pPr>
      <w:r>
        <w:rPr>
          <w:sz w:val="22"/>
        </w:rPr>
        <w:t>FMX navigation and visualization</w:t>
      </w:r>
      <w:r>
        <w:rPr>
          <w:sz w:val="22"/>
        </w:rPr>
        <w:tab/>
        <w:t>7</w:t>
      </w:r>
    </w:p>
    <w:p>
      <w:pPr>
        <w:spacing w:after="0" w:line="240" w:lineRule="auto"/>
        <w:tabs>
          <w:tab w:val="right" w:leader="dot" w:pos="9360"/>
        </w:tabs>
      </w:pPr>
      <w:r>
        <w:rPr>
          <w:sz w:val="22"/>
        </w:rPr>
        <w:t>Curated knowledge and review</w:t>
      </w:r>
      <w:r>
        <w:rPr>
          <w:sz w:val="22"/>
        </w:rPr>
        <w:tab/>
        <w:t>7</w:t>
      </w:r>
    </w:p>
    <w:p>
      <w:pPr>
        <w:spacing w:after="0" w:line="240" w:lineRule="auto"/>
        <w:tabs>
          <w:tab w:val="right" w:leader="dot" w:pos="9360"/>
        </w:tabs>
      </w:pPr>
      <w:r>
        <w:rPr>
          <w:sz w:val="22"/>
        </w:rPr>
        <w:t>Canonical publication and privacy</w:t>
      </w:r>
      <w:r>
        <w:rPr>
          <w:sz w:val="22"/>
        </w:rPr>
        <w:tab/>
        <w:t>8</w:t>
      </w:r>
    </w:p>
    <w:p>
      <w:pPr>
        <w:spacing w:after="0" w:line="240" w:lineRule="auto"/>
        <w:tabs>
          <w:tab w:val="right" w:leader="dot" w:pos="9360"/>
        </w:tabs>
      </w:pPr>
      <w:r>
        <w:rPr>
          <w:sz w:val="22"/>
        </w:rPr>
        <w:t>HTML guides and bundle validation</w:t>
      </w:r>
      <w:r>
        <w:rPr>
          <w:sz w:val="22"/>
        </w:rPr>
        <w:tab/>
        <w:t>8</w:t>
      </w:r>
    </w:p>
    <w:p>
      <w:pPr>
        <w:spacing w:after="0" w:line="240" w:lineRule="auto"/>
        <w:tabs>
          <w:tab w:val="right" w:leader="dot" w:pos="9360"/>
        </w:tabs>
      </w:pPr>
      <w:r>
        <w:rPr>
          <w:sz w:val="22"/>
        </w:rPr>
        <w:t>Translation boundary</w:t>
      </w:r>
      <w:r>
        <w:rPr>
          <w:sz w:val="22"/>
        </w:rPr>
        <w:tab/>
        <w:t>9</w:t>
      </w:r>
    </w:p>
    <w:p>
      <w:pPr>
        <w:spacing w:after="0" w:line="240" w:lineRule="auto"/>
        <w:tabs>
          <w:tab w:val="right" w:leader="dot" w:pos="9360"/>
        </w:tabs>
      </w:pPr>
      <w:r>
        <w:rPr>
          <w:sz w:val="22"/>
        </w:rPr>
        <w:t>Verification and release discipline</w:t>
      </w:r>
      <w:r>
        <w:rPr>
          <w:sz w:val="22"/>
        </w:rPr>
        <w:tab/>
        <w:t>9</w:t>
      </w:r>
    </w:p>
    <w:p>
      <w:pPr>
        <w:spacing w:after="0" w:line="240" w:lineRule="auto"/>
        <w:tabs>
          <w:tab w:val="right" w:leader="dot" w:pos="9360"/>
        </w:tabs>
      </w:pPr>
      <w:r>
        <w:rPr>
          <w:sz w:val="22"/>
        </w:rPr>
        <w:t>Current semantic cache and extended evidence</w:t>
      </w:r>
      <w:r>
        <w:rPr>
          <w:sz w:val="22"/>
        </w:rPr>
        <w:tab/>
        <w:t>9</w:t>
      </w:r>
    </w:p>
    <w:p>
      <w:pPr>
        <w:spacing w:after="0" w:line="240" w:lineRule="auto"/>
        <w:tabs>
          <w:tab w:val="right" w:leader="dot" w:pos="9360"/>
        </w:tabs>
      </w:pPr>
      <w:r>
        <w:rPr>
          <w:sz w:val="22"/>
        </w:rPr>
        <w:t>Current schema and authored document contracts</w:t>
      </w:r>
      <w:r>
        <w:rPr>
          <w:sz w:val="22"/>
        </w:rPr>
        <w:tab/>
        <w:t>10</w:t>
      </w:r>
    </w:p>
    <w:p>
      <w:pPr>
        <w:spacing w:after="0" w:line="240" w:lineRule="auto"/>
        <w:tabs>
          <w:tab w:val="right" w:leader="dot" w:pos="9360"/>
        </w:tabs>
      </w:pPr>
      <w:r>
        <w:rPr>
          <w:sz w:val="22"/>
        </w:rPr>
        <w:t>Native review and learning projections</w:t>
      </w:r>
      <w:r>
        <w:rPr>
          <w:sz w:val="22"/>
        </w:rPr>
        <w:tab/>
        <w:t>10</w:t>
      </w:r>
    </w:p>
    <w:p>
      <w:pPr>
        <w:spacing w:after="0" w:line="240" w:lineRule="auto"/>
        <w:tabs>
          <w:tab w:val="right" w:leader="dot" w:pos="9360"/>
        </w:tabs>
      </w:pPr>
      <w:r>
        <w:rPr>
          <w:sz w:val="22"/>
        </w:rPr>
        <w:t>Saved observation persistence</w:t>
      </w:r>
      <w:r>
        <w:rPr>
          <w:sz w:val="22"/>
        </w:rPr>
        <w:tab/>
        <w:t>10</w:t>
      </w:r>
    </w:p>
    <w:p>
      <w:pPr>
        <w:spacing w:after="0" w:line="240" w:lineRule="auto"/>
        <w:tabs>
          <w:tab w:val="right" w:leader="dot" w:pos="9360"/>
        </w:tabs>
      </w:pPr>
      <w:r>
        <w:rPr>
          <w:sz w:val="22"/>
        </w:rPr>
        <w:t>Regression commands and evidence</w:t>
      </w:r>
      <w:r>
        <w:rPr>
          <w:sz w:val="22"/>
        </w:rPr>
        <w:tab/>
        <w:t>11</w:t>
      </w:r>
    </w:p>
    <w:p>
      <w:pPr>
        <w:spacing w:after="0" w:line="240" w:lineRule="auto"/>
        <w:tabs>
          <w:tab w:val="right" w:leader="dot" w:pos="9360"/>
        </w:tabs>
      </w:pPr>
      <w:r>
        <w:rPr>
          <w:sz w:val="22"/>
        </w:rPr>
        <w:t>Rebuild and inspect these manuals</w:t>
      </w:r>
      <w:r>
        <w:rPr>
          <w:sz w:val="22"/>
        </w:rPr>
        <w:tab/>
        <w:t>11</w:t>
      </w:r>
    </w:p>
    <w:p>
      <w:pPr>
        <w:spacing w:after="0" w:line="240" w:lineRule="auto"/>
        <w:tabs>
          <w:tab w:val="right" w:leader="dot" w:pos="9360"/>
        </w:tabs>
      </w:pPr>
      <w:r>
        <w:rPr>
          <w:sz w:val="22"/>
        </w:rPr>
        <w:t>Business glossary implementation and checks</w:t>
      </w:r>
      <w:r>
        <w:rPr>
          <w:sz w:val="22"/>
        </w:rPr>
        <w:tab/>
        <w:t>12</w:t>
      </w:r>
    </w:p>
    <w:p>
      <w:pPr>
        <w:spacing w:after="0" w:line="240" w:lineRule="auto"/>
        <w:tabs>
          <w:tab w:val="right" w:leader="dot" w:pos="9360"/>
        </w:tabs>
      </w:pPr>
      <w:r>
        <w:rPr>
          <w:sz w:val="22"/>
        </w:rPr>
        <w:t>Offline translation and localized publication</w:t>
      </w:r>
      <w:r>
        <w:rPr>
          <w:sz w:val="22"/>
        </w:rPr>
        <w:tab/>
        <w:t>12</w:t>
      </w:r>
    </w:p>
    <w:p>
      <w:pPr>
        <w:spacing w:after="0" w:line="240" w:lineRule="auto"/>
        <w:tabs>
          <w:tab w:val="right" w:leader="dot" w:pos="9360"/>
        </w:tabs>
      </w:pPr>
      <w:r>
        <w:rPr>
          <w:sz w:val="22"/>
        </w:rPr>
        <w:t>Native validation and release evidence</w:t>
      </w:r>
      <w:r>
        <w:rPr>
          <w:sz w:val="22"/>
        </w:rPr>
        <w:tab/>
        <w:t>13</w:t>
      </w:r>
    </w:p>
    <w:p>
      <w:pPr>
        <w:spacing w:after="0" w:line="240" w:lineRule="auto"/>
        <w:tabs>
          <w:tab w:val="right" w:leader="dot" w:pos="9360"/>
        </w:tabs>
      </w:pPr>
      <w:r>
        <w:rPr>
          <w:sz w:val="22"/>
        </w:rPr>
        <w:t>Structured project profile contract</w:t>
      </w:r>
      <w:r>
        <w:rPr>
          <w:sz w:val="22"/>
        </w:rPr>
        <w:tab/>
        <w:t>13</w:t>
      </w:r>
    </w:p>
    <w:p>
      <w:pPr>
        <w:spacing w:after="0" w:line="240" w:lineRule="auto"/>
        <w:tabs>
          <w:tab w:val="right" w:leader="dot" w:pos="9360"/>
        </w:tabs>
      </w:pPr>
      <w:r>
        <w:rPr>
          <w:sz w:val="22"/>
        </w:rPr>
        <w:t>Quality analysis and revision comparison</w:t>
      </w:r>
      <w:r>
        <w:rPr>
          <w:sz w:val="22"/>
        </w:rPr>
        <w:tab/>
        <w:t>14</w:t>
      </w:r>
    </w:p>
    <w:p>
      <w:pPr>
        <w:spacing w:after="0" w:line="240" w:lineRule="auto"/>
        <w:tabs>
          <w:tab w:val="right" w:leader="dot" w:pos="9360"/>
        </w:tabs>
      </w:pPr>
      <w:r>
        <w:rPr>
          <w:sz w:val="22"/>
        </w:rPr>
        <w:t>Keyboard inspector implementation and validation</w:t>
      </w:r>
      <w:r>
        <w:rPr>
          <w:sz w:val="22"/>
        </w:rPr>
        <w:tab/>
        <w:t>14</w:t>
      </w:r>
    </w:p>
    <w:p>
      <w:pPr>
        <w:pageBreakBefore/>
        <w:spacing w:after="0" w:line="240" w:lineRule="auto"/>
        <w:tabs>
          <w:tab w:val="right" w:leader="dot" w:pos="9360"/>
        </w:tabs>
      </w:pPr>
      <w:r>
        <w:rPr>
          <w:sz w:val="22"/>
        </w:rPr>
        <w:t>Command inventory implementation and validation</w:t>
      </w:r>
      <w:r>
        <w:rPr>
          <w:sz w:val="22"/>
        </w:rPr>
        <w:tab/>
        <w:t>15</w:t>
      </w:r>
    </w:p>
    <w:p>
      <w:pPr>
        <w:spacing w:after="0" w:line="240" w:lineRule="auto"/>
        <w:tabs>
          <w:tab w:val="right" w:leader="dot" w:pos="9360"/>
        </w:tabs>
      </w:pPr>
      <w:r>
        <w:rPr>
          <w:sz w:val="22"/>
        </w:rPr>
        <w:t>Dynamic control relationships and validation</w:t>
      </w:r>
      <w:r>
        <w:rPr>
          <w:sz w:val="22"/>
        </w:rPr>
        <w:tab/>
        <w:t>15</w:t>
      </w:r>
    </w:p>
    <w:p>
      <w:pPr>
        <w:spacing w:after="0" w:line="240" w:lineRule="auto"/>
        <w:tabs>
          <w:tab w:val="right" w:leader="dot" w:pos="9360"/>
        </w:tabs>
      </w:pPr>
      <w:r>
        <w:rPr>
          <w:sz w:val="22"/>
        </w:rPr>
        <w:t>Layout rule explanations and validation</w:t>
      </w:r>
      <w:r>
        <w:rPr>
          <w:sz w:val="22"/>
        </w:rPr>
        <w:tab/>
        <w:t>15</w:t>
      </w:r>
    </w:p>
    <w:p>
      <w:pPr>
        <w:spacing w:after="0" w:line="240" w:lineRule="auto"/>
        <w:tabs>
          <w:tab w:val="right" w:leader="dot" w:pos="9360"/>
        </w:tabs>
      </w:pPr>
      <w:r>
        <w:rPr>
          <w:sz w:val="22"/>
        </w:rPr>
        <w:t>Component dependencies and attributed metadata</w:t>
      </w:r>
      <w:r>
        <w:rPr>
          <w:sz w:val="22"/>
        </w:rPr>
        <w:tab/>
        <w:t>16</w:t>
      </w:r>
    </w:p>
    <w:p>
      <w:pPr>
        <w:spacing w:after="0" w:line="240" w:lineRule="auto"/>
        <w:tabs>
          <w:tab w:val="right" w:leader="dot" w:pos="9360"/>
        </w:tabs>
      </w:pPr>
      <w:r>
        <w:rPr>
          <w:sz w:val="22"/>
        </w:rPr>
        <w:t>Resolve form inheritance and frame overlays</w:t>
      </w:r>
      <w:r>
        <w:rPr>
          <w:sz w:val="22"/>
        </w:rPr>
        <w:tab/>
        <w:t>17</w:t>
      </w:r>
    </w:p>
    <w:p>
      <w:pPr>
        <w:spacing w:after="0" w:line="240" w:lineRule="auto"/>
        <w:tabs>
          <w:tab w:val="right" w:leader="dot" w:pos="9360"/>
        </w:tabs>
      </w:pPr>
      <w:r>
        <w:rPr>
          <w:sz w:val="22"/>
        </w:rPr>
        <w:t>Store attributed action purpose mappings</w:t>
      </w:r>
      <w:r>
        <w:rPr>
          <w:sz w:val="22"/>
        </w:rPr>
        <w:tab/>
        <w:t>17</w:t>
      </w:r>
    </w:p>
    <w:p>
      <w:pPr>
        <w:spacing w:after="0" w:line="240" w:lineRule="auto"/>
        <w:tabs>
          <w:tab w:val="right" w:leader="dot" w:pos="9360"/>
        </w:tabs>
      </w:pPr>
      <w:r>
        <w:rPr>
          <w:sz w:val="22"/>
        </w:rPr>
        <w:t>Compare attributed screen evidence and captured layouts</w:t>
      </w:r>
      <w:r>
        <w:rPr>
          <w:sz w:val="22"/>
        </w:rPr>
        <w:tab/>
        <w:t>18</w:t>
      </w:r>
    </w:p>
    <w:p>
      <w:pPr>
        <w:spacing w:after="0" w:line="240" w:lineRule="auto"/>
        <w:tabs>
          <w:tab w:val="right" w:leader="dot" w:pos="9360"/>
        </w:tabs>
      </w:pPr>
      <w:r>
        <w:rPr>
          <w:sz w:val="22"/>
        </w:rPr>
        <w:t>Build a safe captured database connection inventory</w:t>
      </w:r>
      <w:r>
        <w:rPr>
          <w:sz w:val="22"/>
        </w:rPr>
        <w:tab/>
        <w:t>18</w:t>
      </w:r>
    </w:p>
    <w:p>
      <w:pPr>
        <w:spacing w:after="0" w:line="240" w:lineRule="auto"/>
        <w:tabs>
          <w:tab w:val="right" w:leader="dot" w:pos="9360"/>
        </w:tabs>
      </w:pPr>
      <w:r>
        <w:rPr>
          <w:sz w:val="22"/>
        </w:rPr>
        <w:t>Derive captured database engine and version evidence</w:t>
      </w:r>
      <w:r>
        <w:rPr>
          <w:sz w:val="22"/>
        </w:rPr>
        <w:tab/>
        <w:t>19</w:t>
      </w:r>
    </w:p>
    <w:p>
      <w:pPr>
        <w:spacing w:after="0" w:line="240" w:lineRule="auto"/>
        <w:tabs>
          <w:tab w:val="right" w:leader="dot" w:pos="9360"/>
        </w:tabs>
      </w:pPr>
      <w:r>
        <w:rPr>
          <w:sz w:val="22"/>
        </w:rPr>
        <w:t>Inspect captured database schema evidence</w:t>
      </w:r>
      <w:r>
        <w:rPr>
          <w:sz w:val="22"/>
        </w:rPr>
        <w:tab/>
        <w:t>20</w:t>
      </w:r>
    </w:p>
    <w:p>
      <w:pPr>
        <w:spacing w:after="0" w:line="240" w:lineRule="auto"/>
        <w:tabs>
          <w:tab w:val="right" w:leader="dot" w:pos="9360"/>
        </w:tabs>
      </w:pPr>
      <w:r>
        <w:rPr>
          <w:sz w:val="22"/>
        </w:rPr>
        <w:t>Extract captured column declarations and constraint text</w:t>
      </w:r>
      <w:r>
        <w:rPr>
          <w:sz w:val="22"/>
        </w:rPr>
        <w:tab/>
        <w:t>20</w:t>
      </w:r>
    </w:p>
    <w:p>
      <w:pPr>
        <w:spacing w:after="0" w:line="240" w:lineRule="auto"/>
        <w:tabs>
          <w:tab w:val="right" w:leader="dot" w:pos="9360"/>
        </w:tabs>
      </w:pPr>
      <w:r>
        <w:rPr>
          <w:sz w:val="22"/>
        </w:rPr>
        <w:t>Resolve captured key membership and references</w:t>
      </w:r>
      <w:r>
        <w:rPr>
          <w:sz w:val="22"/>
        </w:rPr>
        <w:tab/>
        <w:t>21</w:t>
      </w:r>
    </w:p>
    <w:p>
      <w:pPr>
        <w:spacing w:after="0" w:line="240" w:lineRule="auto"/>
        <w:tabs>
          <w:tab w:val="right" w:leader="dot" w:pos="9360"/>
        </w:tabs>
      </w:pPr>
      <w:r>
        <w:rPr>
          <w:sz w:val="22"/>
        </w:rPr>
        <w:t>Capture index structures and SQL reference evidence</w:t>
      </w:r>
      <w:r>
        <w:rPr>
          <w:sz w:val="22"/>
        </w:rPr>
        <w:tab/>
        <w:t>22</w:t>
      </w:r>
    </w:p>
    <w:p>
      <w:pPr>
        <w:spacing w:after="0" w:line="240" w:lineRule="auto"/>
        <w:tabs>
          <w:tab w:val="right" w:leader="dot" w:pos="9360"/>
        </w:tabs>
      </w:pPr>
      <w:r>
        <w:rPr>
          <w:sz w:val="22"/>
        </w:rPr>
        <w:t>Capture stored-object definitions and dependencies</w:t>
      </w:r>
      <w:r>
        <w:rPr>
          <w:sz w:val="22"/>
        </w:rPr>
        <w:tab/>
        <w:t>23</w:t>
      </w:r>
    </w:p>
    <w:p>
      <w:pPr>
        <w:spacing w:after="0" w:line="240" w:lineRule="auto"/>
        <w:tabs>
          <w:tab w:val="right" w:leader="dot" w:pos="9360"/>
        </w:tabs>
      </w:pPr>
      <w:r>
        <w:rPr>
          <w:sz w:val="22"/>
        </w:rPr>
        <w:t>Project captured entity relationship metadata</w:t>
      </w:r>
      <w:r>
        <w:rPr>
          <w:sz w:val="22"/>
        </w:rPr>
        <w:tab/>
        <w:t>24</w:t>
      </w:r>
    </w:p>
    <w:p>
      <w:pPr>
        <w:spacing w:after="0" w:line="240" w:lineRule="auto"/>
        <w:tabs>
          <w:tab w:val="right" w:leader="dot" w:pos="9360"/>
        </w:tabs>
      </w:pPr>
      <w:r>
        <w:rPr>
          <w:sz w:val="22"/>
        </w:rPr>
        <w:t>Maintain attributed schema dictionaries</w:t>
      </w:r>
      <w:r>
        <w:rPr>
          <w:sz w:val="22"/>
        </w:rPr>
        <w:tab/>
        <w:t>25</w:t>
      </w:r>
    </w:p>
    <w:p>
      <w:pPr>
        <w:spacing w:after="0" w:line="240" w:lineRule="auto"/>
        <w:tabs>
          <w:tab w:val="right" w:leader="dot" w:pos="9360"/>
        </w:tabs>
      </w:pPr>
      <w:r>
        <w:rPr>
          <w:sz w:val="22"/>
        </w:rPr>
        <w:t>Resolve captured dataset and field bindings</w:t>
      </w:r>
      <w:r>
        <w:rPr>
          <w:sz w:val="22"/>
        </w:rPr>
        <w:tab/>
        <w:t>26</w:t>
      </w:r>
    </w:p>
    <w:p>
      <w:pPr>
        <w:spacing w:after="0" w:line="240" w:lineRule="auto"/>
        <w:tabs>
          <w:tab w:val="right" w:leader="dot" w:pos="9360"/>
        </w:tabs>
      </w:pPr>
      <w:r>
        <w:rPr>
          <w:sz w:val="22"/>
        </w:rPr>
        <w:t>Recognize captured database operation requests</w:t>
      </w:r>
      <w:r>
        <w:rPr>
          <w:sz w:val="22"/>
        </w:rPr>
        <w:tab/>
        <w:t>27</w:t>
      </w:r>
    </w:p>
    <w:p>
      <w:pPr>
        <w:spacing w:after="0" w:line="240" w:lineRule="auto"/>
        <w:tabs>
          <w:tab w:val="right" w:leader="dot" w:pos="9360"/>
        </w:tabs>
      </w:pPr>
      <w:r>
        <w:rPr>
          <w:sz w:val="22"/>
        </w:rPr>
        <w:t>Trace captured transaction boundaries</w:t>
      </w:r>
      <w:r>
        <w:rPr>
          <w:sz w:val="22"/>
        </w:rPr>
        <w:tab/>
        <w:t>27</w:t>
      </w:r>
    </w:p>
    <w:p>
      <w:pPr>
        <w:spacing w:after="0" w:line="240" w:lineRule="auto"/>
        <w:tabs>
          <w:tab w:val="right" w:leader="dot" w:pos="9360"/>
        </w:tabs>
      </w:pPr>
      <w:r>
        <w:rPr>
          <w:sz w:val="22"/>
        </w:rPr>
        <w:t>Capture field validation and transformation evidence</w:t>
      </w:r>
      <w:r>
        <w:rPr>
          <w:sz w:val="22"/>
        </w:rPr>
        <w:tab/>
        <w:t>28</w:t>
      </w:r>
    </w:p>
    <w:p>
      <w:pPr>
        <w:spacing w:after="0" w:line="240" w:lineRule="auto"/>
        <w:tabs>
          <w:tab w:val="right" w:leader="dot" w:pos="9360"/>
        </w:tabs>
      </w:pPr>
      <w:r>
        <w:rPr>
          <w:sz w:val="22"/>
        </w:rPr>
        <w:t>Connect source evidence into scoped lineage</w:t>
      </w:r>
      <w:r>
        <w:rPr>
          <w:sz w:val="22"/>
        </w:rPr>
        <w:tab/>
        <w:t>28</w:t>
      </w:r>
    </w:p>
    <w:p>
      <w:pPr>
        <w:spacing w:after="0" w:line="240" w:lineRule="auto"/>
        <w:tabs>
          <w:tab w:val="right" w:leader="dot" w:pos="9360"/>
        </w:tabs>
      </w:pPr>
      <w:r>
        <w:rPr>
          <w:sz w:val="22"/>
        </w:rPr>
        <w:t>Project captured migration and version evidence</w:t>
      </w:r>
      <w:r>
        <w:rPr>
          <w:sz w:val="22"/>
        </w:rPr>
        <w:tab/>
        <w:t>29</w:t>
      </w:r>
    </w:p>
    <w:p>
      <w:pPr>
        <w:spacing w:after="0" w:line="240" w:lineRule="auto"/>
        <w:tabs>
          <w:tab w:val="right" w:leader="dot" w:pos="9360"/>
        </w:tabs>
      </w:pPr>
      <w:r>
        <w:rPr>
          <w:sz w:val="22"/>
        </w:rPr>
        <w:t>Project captured file formats and contracts</w:t>
      </w:r>
      <w:r>
        <w:rPr>
          <w:sz w:val="22"/>
        </w:rPr>
        <w:tab/>
        <w:t>30</w:t>
      </w:r>
    </w:p>
    <w:p>
      <w:pPr>
        <w:spacing w:after="0" w:line="240" w:lineRule="auto"/>
        <w:tabs>
          <w:tab w:val="right" w:leader="dot" w:pos="9360"/>
        </w:tabs>
      </w:pPr>
      <w:r>
        <w:rPr>
          <w:sz w:val="22"/>
        </w:rPr>
        <w:t>Maintain attributed target retention requirements</w:t>
      </w:r>
      <w:r>
        <w:rPr>
          <w:sz w:val="22"/>
        </w:rPr>
        <w:tab/>
        <w:t>30</w:t>
      </w:r>
    </w:p>
    <w:p>
      <w:pPr>
        <w:spacing w:after="0" w:line="240" w:lineRule="auto"/>
        <w:tabs>
          <w:tab w:val="right" w:leader="dot" w:pos="9360"/>
        </w:tabs>
      </w:pPr>
      <w:r>
        <w:rPr>
          <w:sz w:val="22"/>
        </w:rPr>
        <w:t>Maintain target data quality evidence and report imports</w:t>
      </w:r>
      <w:r>
        <w:rPr>
          <w:sz w:val="22"/>
        </w:rPr>
        <w:tab/>
        <w:t>31</w:t>
      </w:r>
    </w:p>
    <w:p>
      <w:pPr>
        <w:spacing w:after="0" w:line="240" w:lineRule="auto"/>
        <w:tabs>
          <w:tab w:val="right" w:leader="dot" w:pos="9360"/>
        </w:tabs>
      </w:pPr>
      <w:r>
        <w:rPr>
          <w:sz w:val="22"/>
        </w:rPr>
        <w:t>Maintain target backup and restoration evidence</w:t>
      </w:r>
      <w:r>
        <w:rPr>
          <w:sz w:val="22"/>
        </w:rPr>
        <w:tab/>
        <w:t>32</w:t>
      </w:r>
    </w:p>
    <w:p>
      <w:pPr>
        <w:spacing w:after="0" w:line="240" w:lineRule="auto"/>
        <w:tabs>
          <w:tab w:val="right" w:leader="dot" w:pos="9360"/>
        </w:tabs>
      </w:pPr>
      <w:r>
        <w:rPr>
          <w:sz w:val="22"/>
        </w:rPr>
        <w:t>Source and revision evidence</w:t>
      </w:r>
      <w:r>
        <w:rPr>
          <w:sz w:val="22"/>
        </w:rPr>
        <w:tab/>
        <w:t>32</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Connect source evidence into scoped lineage</w:t>
      </w:r>
    </w:p>
    <w:p>
      <w:r>
        <w:t>TDPHDatabaseConnections.Lineage projects the captured workspace and database inventory without modifying either. Exact component_field source locations map semantic receivers to serialized inventory identity only when unique. Existing rule declarations retain their identity. Directed derives_from relations connect input candidates to dependent declarations and file output artifacts. Lexical rule inputs and outputs connect through the captured rule. Serialized bindings, handler context, reads/writes, rendering requests and database operation routines remain labeled context rather than reaching-definition evidence.</w:t>
      </w:r>
    </w:p>
    <w:p>
      <w:r>
        <w:t>The projection indexes at most 50000 symbols and 100000 deduplicated edges, then performs bounded adjacency traversal. Each returned node retains its parent hop, kind, source, SHA256 and capture generation. Edges retain original range, source hash, condition, category and qualification. Both direction traversal includes context; Inputs and Destinations exclude broad procedure context and respect dependency direction. Cycles are deduplicated. Returned limits are 200 nodes, 800 edges and 12 hops. Missing targets, missing dataset declarations, unresolved handlers, scoped connection boundaries and limits remain explicit. Runtime values, aliases, server effects and final success remain unverified.</w:t>
      </w:r>
    </w:p>
    <w:p>
      <w:r>
        <w:t>ResolveFields now treats any captured data-source chain without a dataset target as incomplete, including the case where another source chain resolves. It no longer invents a persistent-field target from the remaining valid branch. Existing exact-role and ambiguity checks remain in force. No analyzer version or schema migration is needed because lineage projects existing captures; older captures without a recognized event or relation still require Full reassessment.</w:t>
      </w:r>
    </w:p>
    <w:p>
      <w:r>
        <w:t>The direction selector, Trace lineage and Lineage diagram buttons and Data lineage graph choice are serialized in DPH.UI.Main.fmx. Main form navigation reuses the inventory and explanation pages; graph grouping is disabled for lineage. GraphHTML renders the same evidence JSON with selectable nodes and unresolved breaks. Existing browser allowlisting and source hash guards remain in force. Tests use actual parsing, persisted and reopened SQLite captures, directional assignment chains, cyclic assignments, controlled file-writer evidence, redaction, incomplete bindings, trace limits and native FMX navigation/layout. No selected target, SQL, driver or production server is executed. Build with tools/build-data-lineage.cmd.</w:t>
      </w:r>
    </w:p>
    <w:p>
      <w:pPr>
        <w:pStyle w:val="Heading1"/>
      </w:pPr>
      <w:r>
        <w:t>Project captured migration and version evidence</w:t>
      </w:r>
    </w:p>
    <w:p>
      <w:r>
        <w:t>TDPHDatabaseSchema.Inspect appends migration evidence after ordinary schema identities and links are resolved. Existing schema IDs remain stable. Each captured readable SQL resource becomes a migration candidate; unavailable literal SQL loader targets become migration gaps citing the Pascal loader range and fingerprint. The existing bounded project inventory discovers referenced files only. No unrelated directory scan, migration runner, target database or target application executes.</w:t>
      </w:r>
    </w:p>
    <w:p>
      <w:r>
        <w:t>Leading numeric filenames are order candidates scoped to the captured source directory. Leading zeros normalize only for conflict detection; original filename digits remain visible. Captured loader configures relationships retain their source, line, fingerprint and enumeration label. Neither filename nor lexical-loader order becomes deployment precedence. Schema evidence links retain exact row IDs and are limited to 250 per script, with total and omission counts.</w:t>
      </w:r>
    </w:p>
    <w:p>
      <w:r>
        <w:t>The existing SQL lexer separates comments and literal contents. Supported top-level PRAGMA user_version assignments capture nonnegative 32-bit integer values through equals or parentheses and preserve explicit schema qualifiers. Queries, engine schema_version counters, unsupported expressions, nested procedure blocks and comments cannot become application-version assignments. Multiple assignments remain ordered evidence rather than a selected final version. SQLite reference: https://www.sqlite.org/pragma.html#pragma_user_version. Supported verification request spelling captures integrity_check, quick_check and foreign_key_check without execution or invented results.</w:t>
      </w:r>
    </w:p>
    <w:p>
      <w:r>
        <w:t>Existing SQL bounds are 2 MiB characters, 100000 tokens and 10000 combined schema rows. Migration detail bounds are 250 displayed version assignments, 8000 characters of verification requests and 1000 loader entries, with explicit truncation. IDE-editable kind/state selectors, paging, evidence memo, source guards and relationship navigation are reused. The focused tools/build-schema-history.cmd suite exercises actual parsing, persisted reopening, numeric-prefix conflicts, missing sources, version/counter distinctions, nested blocks, redaction, limits, native filters and navigation. Shared schema, ER, stored-object and lineage regressions verify the same projection remains compatible.</w:t>
      </w:r>
    </w:p>
    <w:p>
      <w:pPr>
        <w:pStyle w:val="Heading1"/>
      </w:pPr>
      <w:r>
        <w:t>Project captured file formats and contracts</w:t>
      </w:r>
    </w:p>
    <w:p>
      <w:r>
        <w:t>TDPHWorkspaceView.FileFormats projects existing IR and semantic captures without a schema or analyzer change. Supported captured JSON, XML and INI resources show member shapes while omitting scalar values. Member names are bounded and unsafe names are omitted. Each resource shows at most 250 members and an explicit total/limit. The combined inventory is capped at 10000 rows with visible truncation.</w:t>
      </w:r>
    </w:p>
    <w:p>
      <w:r>
        <w:t>Outer expression tokens identify dotted ReadAllText/Bytes/Lines, WriteAllText/Bytes/Lines, LoadFromFile and SaveToFile spellings. Quoted strings remain single tokens and comments do not become APIs. A supported literal first argument contributes only a safe filename extension. Explicit TEncoding argument spellings remain candidates; byte APIs remain binary candidates. Enclosing captured routine identity provides a producer or consumer link. Evidence retains source hash, generation and enclosing expression range; custom receivers and runtime dispatch are unverified.</w:t>
      </w:r>
    </w:p>
    <w:p>
      <w:r>
        <w:t>DPH.UI.Main and its serialized FMX resource provide kind/text filters, 250-row paging, labeled evidence, guarded source opening, routine explanation and contract drafts. No runtime controls, helper unit or target execution is introduced. Deterministic contract titles include the exact row and source hash. Existing attributed Knowledge storage supplies immutable revision history and separate review. A contract draft includes encoding/BOM, schema and required fields, producer/consumer mappings, validation, compatibility, verification and remaining unknowns.</w:t>
      </w:r>
    </w:p>
    <w:p>
      <w:r>
        <w:t>Run tools/build-file-formats.cmd elevated for the focused actual-parser, persistence and native FMX checks. It uses fixed ignored bin/file-formats-validation fixtures and verifies redaction, routine identity, explicit encoding candidates, resource/transfer distinctions, large shapes, paging, saved contracts, source-change and detached-source refusal, compact layout and unchanged captured source/catalog. Shared schema-history, lineage, Knowledge and publishing regressions and tools/build-wp0.cmd validate integration. Candidate evidence and authored contracts do not establish a formal schema, runtime transfer success or deployed compatibility.</w:t>
      </w:r>
    </w:p>
    <w:p>
      <w:pPr>
        <w:pStyle w:val="Heading1"/>
      </w:pPr>
      <w:r>
        <w:t>Maintain attributed target retention requirements</w:t>
      </w:r>
    </w:p>
    <w:p>
      <w:r>
        <w:t>Requirement 05.18 is an attributed manual-capture workflow. TDPHWorkspaceView provides the target-policy template, typed-record recognition, metadata validation and readable evidence. Native DataRetention controls in DPH.UI.Main.fmx provide state/text filtering, bounded 250-row pages, labeled scrollable details, draft preparation and existing Knowledge/link navigation. Controls remain editable in the IDE. No helper unit, analyzer pass or storage migration is introduced.</w:t>
      </w:r>
    </w:p>
    <w:p>
      <w:r>
        <w:t>Structured metadata contains record_type data_retention and a stable GUID policy_id. The existing attributed body remains editable; identity and kind stay protected. TDPHKnowledgeStore.SaveKnowledge validates metadata, rejects the default title, anonymous authors, removed heading, wrong business-rule/maintenance/maintainer scope, duplicate identities, identity changes and discarded structured metadata. Existing optimistic revisions, named review, immutable history and exact rich links remain authoritative. Unknown fields are deliberately permitted and visibly unresolved; policy prose is human evidence, not an inferred legal rule.</w:t>
      </w:r>
    </w:p>
    <w:p>
      <w:r>
        <w:t>The register distinguishes original contributor from current revision editor and shows the named reviewer and explicit link count. Existing Knowledge links support captured semantic routines, evidence and exact procedure-section revisions. Publication includes these requirements and typed identities in maintenance/all-reader handoffs through existing audience and redaction rules. No source application, SQL, deletion or archive job executes. DPH snapshot controls are distinct from the selected application's retention requirements.</w:t>
      </w:r>
    </w:p>
    <w:p>
      <w:r>
        <w:t>Run tools/build-data-retention.cmd elevated. The focused suite uses a real parsed controlled Retention.dpr capture, persisted attributed policies, metadata rejection cases, immutable review/edit history, routine and procedure links, canonical/HTML export and complete bundle validation, native paging/filtering, draft guards and compact rendering. Knowledge, publishing and file-format regressions and tools/build-wp0.cmd cover shared paths. Controlled outputs remain under ignored bin/data-retention-validation; no owner project source or catalog is modified.</w:t>
      </w:r>
    </w:p>
    <w:p>
      <w:pPr>
        <w:pStyle w:val="Heading1"/>
      </w:pPr>
      <w:r>
        <w:t>Maintain target data quality evidence and report imports</w:t>
      </w:r>
    </w:p>
    <w:p>
      <w:r>
        <w:t>TDPHWorkspaceView provides NewDataQualityRule, typed record recognition, metadata validation and attributed details in the existing model unit. Stable record_type data_quality and GUID rule_id identify each rule or imported report. Native controls are serialized in DPH.UI.Main.fmx for IDE editing: state/text filters, 250-row pages, command bars, contributor/context inputs, labeled evidence, New/Open, implementation links and import. Main guards unsaved Knowledge drafts and reuses existing revision, review and rich-link workflows. No helper unit, storage migration or target execution is introduced.</w:t>
      </w:r>
    </w:p>
    <w:p>
      <w:r>
        <w:t>TDPHKnowledgeStore.SaveKnowledge validates quality identity, heading, business-rule kind and project maintenance/maintainer scope, rejects placeholder titles, duplicate identities, changed identities and discarded structured metadata. The body remains editable and exact prior revisions remain in history. ImportDataQualityReport reads only explicitly selected .txt/.log/.json files, checks both before/after read sizes at 32 KiB, requires round-trip UTF-8 and rejects empty/NUL text. It hashes the original bytes and saves literal text with contributor, context, UTC, generation and an explicit unverified-claim qualification through SaveKnowledge.</w:t>
      </w:r>
    </w:p>
    <w:p>
      <w:r>
        <w:t>The import_data_quality worker command opens the selected store using its actual source root, imports on the existing background writer and returns saved Knowledge. Report imports do not execute a parser for report commands, SQL, scripts or target code. Publication uses the normal maintenance scope and escapes report markup in HTML; imported measurements remain unverified even when hash-consistent. Exact section links associate rule, operator procedure and imported report revisions; entity/evidence links preserve captured implementation references. DPH storage integrity and selected-data quality remain distinct.</w:t>
      </w:r>
    </w:p>
    <w:p>
      <w:r>
        <w:t>Run tools/build-data-quality.cmd elevated for real parsing/persistence, identity and invalid-save cases, immutable review/edit history, implementation/procedure/result links, native filtering/paging/draft guards, compact rendering, UTF-8/size/NUL rejection, report hashes, literal HTML, full handoff validation, unchanged source/catalog and actual background import. The worker test releases the test writer before opening the background writer. Knowledge, publishing, retention and actual application/FMX regressions cover shared paths. Fixed ignored bin/data-quality-validation holds controlled fixtures.</w:t>
      </w:r>
    </w:p>
    <w:p>
      <w:pPr>
        <w:pStyle w:val="Heading1"/>
      </w:pPr>
      <w:r>
        <w:t>Maintain target backup and restoration evidence</w:t>
      </w:r>
    </w:p>
    <w:p>
      <w:r>
        <w:t>TDPHWorkspaceView provides the recovery template, typed metadata validation, recognition and readable attribution. record_type target_recovery and a stable GUID plan_id identify each plan independently of its editable body. TDPHKnowledgeStore.SaveKnowledge enforces the first heading, descriptive stable title, project business-rule and maintenance scope, unique identity and existing optimistic revisions. Named reviews and edits preserve exact prior bodies and evidence links; unknowns remain explicit.</w:t>
      </w:r>
    </w:p>
    <w:p>
      <w:r>
        <w:t>TargetRecovery controls in DPH.UI.Main.fmx are serialized for IDE and Object Inspector editing. The register provides state and text filters, 250-row pages, labeled scrolling evidence, New/Open and the existing exact-link editor. It borrows saved Knowledge rows and clears them before replacement; it guards unsaved drafts. No helper unit, migration, runtime control construction or target backup/restore execution is introduced.</w:t>
      </w:r>
    </w:p>
    <w:p>
      <w:r>
        <w:t>The controlled tests parse a real Recovery.dpr and RestoreOrders routine, persist requirements and attributed test measurements, exercise invalid/duplicate/stale saves, immutable review/edit history, source and exact procedure links, canonical and escaped HTML publication, full bundle validation, native editing/navigation/filtering/paging and compact layout. Knowledge, publishing and data-quality regression suites and the actual app/FMX baseline cover shared paths. Run tools/build-target-recovery.cmd elevated. Fixtures remain under fixed ignored bin/target-recovery-validation.</w:t>
      </w:r>
    </w:p>
    <w:p>
      <w:r>
        <w:t>DPH portable database backup and selected-application recovery requirements are separate. Written measurements are contributor claims, and a stored hash does not authenticate their origin or prove recovery. Existing section links can pin a saved evidence revision. The embedded-NUL report rejection fixture uses an ordinary filename, embedded-nul.txt, to avoid Windows device-name behavior while testing the actual NUL bytes.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da373dcd243a8eebe8d12c50575abb45cf72144360b3679451e0a8f877480915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3b861f396f8335c5a2fded6e1c15886ea6df4e59bcfc7aba34430e169a77993b</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0071616ba56c64eb56e19f04a535cd0cb70d4e5e4b87ce2a9885b91ffde3dd3c</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a3d40acc4c45734b68a66d0bc255f66a93298ba1843b8aa98eaa1bda4f2ef78e</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