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Purpose and evidence</w:t>
      </w:r>
      <w:r>
        <w:rPr>
          <w:sz w:val="22"/>
        </w:rPr>
        <w:tab/>
        <w:t>4</w:t>
      </w:r>
    </w:p>
    <w:p>
      <w:pPr>
        <w:spacing w:after="0" w:line="240" w:lineRule="auto"/>
        <w:tabs>
          <w:tab w:val="right" w:leader="dot" w:pos="9360"/>
        </w:tabs>
      </w:pPr>
      <w:r>
        <w:rPr>
          <w:sz w:val="22"/>
        </w:rPr>
        <w:t>Start DPH</w:t>
      </w:r>
      <w:r>
        <w:rPr>
          <w:sz w:val="22"/>
        </w:rPr>
        <w:tab/>
        <w:t>4</w:t>
      </w:r>
    </w:p>
    <w:p>
      <w:pPr>
        <w:spacing w:after="0" w:line="240" w:lineRule="auto"/>
        <w:tabs>
          <w:tab w:val="right" w:leader="dot" w:pos="9360"/>
        </w:tabs>
      </w:pPr>
      <w:r>
        <w:rPr>
          <w:sz w:val="22"/>
        </w:rPr>
        <w:t>Run the application and its checks</w:t>
      </w:r>
      <w:r>
        <w:rPr>
          <w:sz w:val="22"/>
        </w:rPr>
        <w:tab/>
        <w:t>4</w:t>
      </w:r>
    </w:p>
    <w:p>
      <w:pPr>
        <w:spacing w:after="0" w:line="240" w:lineRule="auto"/>
        <w:tabs>
          <w:tab w:val="right" w:leader="dot" w:pos="9360"/>
        </w:tabs>
      </w:pPr>
      <w:r>
        <w:rPr>
          <w:sz w:val="22"/>
        </w:rPr>
        <w:t>Attach a source project</w:t>
      </w:r>
      <w:r>
        <w:rPr>
          <w:sz w:val="22"/>
        </w:rPr>
        <w:tab/>
        <w:t>5</w:t>
      </w:r>
    </w:p>
    <w:p>
      <w:pPr>
        <w:spacing w:after="0" w:line="240" w:lineRule="auto"/>
        <w:tabs>
          <w:tab w:val="right" w:leader="dot" w:pos="9360"/>
        </w:tabs>
      </w:pPr>
      <w:r>
        <w:rPr>
          <w:sz w:val="22"/>
        </w:rPr>
        <w:t>Open cached work</w:t>
      </w:r>
      <w:r>
        <w:rPr>
          <w:sz w:val="22"/>
        </w:rPr>
        <w:tab/>
        <w:t>5</w:t>
      </w:r>
    </w:p>
    <w:p>
      <w:pPr>
        <w:spacing w:after="0" w:line="240" w:lineRule="auto"/>
        <w:tabs>
          <w:tab w:val="right" w:leader="dot" w:pos="9360"/>
        </w:tabs>
      </w:pPr>
      <w:r>
        <w:rPr>
          <w:sz w:val="22"/>
        </w:rPr>
        <w:t>Manage the project catalog</w:t>
      </w:r>
      <w:r>
        <w:rPr>
          <w:sz w:val="22"/>
        </w:rPr>
        <w:tab/>
        <w:t>6</w:t>
      </w:r>
    </w:p>
    <w:p>
      <w:pPr>
        <w:spacing w:after="0" w:line="240" w:lineRule="auto"/>
        <w:tabs>
          <w:tab w:val="right" w:leader="dot" w:pos="9360"/>
        </w:tabs>
      </w:pPr>
      <w:r>
        <w:rPr>
          <w:sz w:val="22"/>
        </w:rPr>
        <w:t>Record the selected application profile</w:t>
      </w:r>
      <w:r>
        <w:rPr>
          <w:sz w:val="22"/>
        </w:rPr>
        <w:tab/>
        <w:t>6</w:t>
      </w:r>
    </w:p>
    <w:p>
      <w:pPr>
        <w:spacing w:after="0" w:line="240" w:lineRule="auto"/>
        <w:tabs>
          <w:tab w:val="right" w:leader="dot" w:pos="9360"/>
        </w:tabs>
      </w:pPr>
      <w:r>
        <w:rPr>
          <w:sz w:val="22"/>
        </w:rPr>
        <w:t>Define and review business terms</w:t>
      </w:r>
      <w:r>
        <w:rPr>
          <w:sz w:val="22"/>
        </w:rPr>
        <w:tab/>
        <w:t>6</w:t>
      </w:r>
    </w:p>
    <w:p>
      <w:pPr>
        <w:spacing w:after="0" w:line="240" w:lineRule="auto"/>
        <w:tabs>
          <w:tab w:val="right" w:leader="dot" w:pos="9360"/>
        </w:tabs>
      </w:pPr>
      <w:r>
        <w:rPr>
          <w:sz w:val="22"/>
        </w:rPr>
        <w:t>Learn the selected project</w:t>
      </w:r>
      <w:r>
        <w:rPr>
          <w:sz w:val="22"/>
        </w:rPr>
        <w:tab/>
        <w:t>7</w:t>
      </w:r>
    </w:p>
    <w:p>
      <w:pPr>
        <w:spacing w:after="0" w:line="240" w:lineRule="auto"/>
        <w:tabs>
          <w:tab w:val="right" w:leader="dot" w:pos="9360"/>
        </w:tabs>
      </w:pPr>
      <w:r>
        <w:rPr>
          <w:sz w:val="22"/>
        </w:rPr>
        <w:t>Measure coverage before relying on an explanation</w:t>
      </w:r>
      <w:r>
        <w:rPr>
          <w:sz w:val="22"/>
        </w:rPr>
        <w:tab/>
        <w:t>9</w:t>
      </w:r>
    </w:p>
    <w:p>
      <w:pPr>
        <w:spacing w:after="0" w:line="240" w:lineRule="auto"/>
        <w:tabs>
          <w:tab w:val="right" w:leader="dot" w:pos="9360"/>
        </w:tabs>
      </w:pPr>
      <w:r>
        <w:rPr>
          <w:sz w:val="22"/>
        </w:rPr>
        <w:t>Explore and search</w:t>
      </w:r>
      <w:r>
        <w:rPr>
          <w:sz w:val="22"/>
        </w:rPr>
        <w:tab/>
        <w:t>9</w:t>
      </w:r>
    </w:p>
    <w:p>
      <w:pPr>
        <w:spacing w:after="0" w:line="240" w:lineRule="auto"/>
        <w:tabs>
          <w:tab w:val="right" w:leader="dot" w:pos="9360"/>
        </w:tabs>
      </w:pPr>
      <w:r>
        <w:rPr>
          <w:sz w:val="22"/>
        </w:rPr>
        <w:t>Search across the captured project</w:t>
      </w:r>
      <w:r>
        <w:rPr>
          <w:sz w:val="22"/>
        </w:rPr>
        <w:tab/>
        <w:t>9</w:t>
      </w:r>
    </w:p>
    <w:p>
      <w:pPr>
        <w:spacing w:after="0" w:line="240" w:lineRule="auto"/>
        <w:tabs>
          <w:tab w:val="right" w:leader="dot" w:pos="9360"/>
        </w:tabs>
      </w:pPr>
      <w:r>
        <w:rPr>
          <w:sz w:val="22"/>
        </w:rPr>
        <w:t>Read source and graph evidence</w:t>
      </w:r>
      <w:r>
        <w:rPr>
          <w:sz w:val="22"/>
        </w:rPr>
        <w:tab/>
        <w:t>9</w:t>
      </w:r>
    </w:p>
    <w:p>
      <w:pPr>
        <w:spacing w:after="0" w:line="240" w:lineRule="auto"/>
        <w:tabs>
          <w:tab w:val="right" w:leader="dot" w:pos="9360"/>
        </w:tabs>
      </w:pPr>
      <w:r>
        <w:rPr>
          <w:sz w:val="22"/>
        </w:rPr>
        <w:t>Investigate source quality candidates</w:t>
      </w:r>
      <w:r>
        <w:rPr>
          <w:sz w:val="22"/>
        </w:rPr>
        <w:tab/>
        <w:t>10</w:t>
      </w:r>
    </w:p>
    <w:p>
      <w:pPr>
        <w:spacing w:after="0" w:line="240" w:lineRule="auto"/>
        <w:tabs>
          <w:tab w:val="right" w:leader="dot" w:pos="9360"/>
        </w:tabs>
      </w:pPr>
      <w:r>
        <w:rPr>
          <w:sz w:val="22"/>
        </w:rPr>
        <w:t>Compare captured revisions</w:t>
      </w:r>
      <w:r>
        <w:rPr>
          <w:sz w:val="22"/>
        </w:rPr>
        <w:tab/>
        <w:t>10</w:t>
      </w:r>
    </w:p>
    <w:p>
      <w:pPr>
        <w:spacing w:after="0" w:line="240" w:lineRule="auto"/>
        <w:tabs>
          <w:tab w:val="right" w:leader="dot" w:pos="9360"/>
        </w:tabs>
      </w:pPr>
      <w:r>
        <w:rPr>
          <w:sz w:val="22"/>
        </w:rPr>
        <w:t>Choose graph scope and grouping</w:t>
      </w:r>
      <w:r>
        <w:rPr>
          <w:sz w:val="22"/>
        </w:rPr>
        <w:tab/>
        <w:t>11</w:t>
      </w:r>
    </w:p>
    <w:p>
      <w:pPr>
        <w:spacing w:after="0" w:line="240" w:lineRule="auto"/>
        <w:tabs>
          <w:tab w:val="right" w:leader="dot" w:pos="9360"/>
        </w:tabs>
      </w:pPr>
      <w:r>
        <w:rPr>
          <w:sz w:val="22"/>
        </w:rPr>
        <w:t>Read a routine as a beginner</w:t>
      </w:r>
      <w:r>
        <w:rPr>
          <w:sz w:val="22"/>
        </w:rPr>
        <w:tab/>
        <w:t>11</w:t>
      </w:r>
    </w:p>
    <w:p>
      <w:pPr>
        <w:spacing w:after="0" w:line="240" w:lineRule="auto"/>
        <w:tabs>
          <w:tab w:val="right" w:leader="dot" w:pos="9360"/>
        </w:tabs>
      </w:pPr>
      <w:r>
        <w:rPr>
          <w:sz w:val="22"/>
        </w:rPr>
        <w:t>Inspect screens</w:t>
      </w:r>
      <w:r>
        <w:rPr>
          <w:sz w:val="22"/>
        </w:rPr>
        <w:tab/>
        <w:t>11</w:t>
      </w:r>
    </w:p>
    <w:p>
      <w:pPr>
        <w:spacing w:after="0" w:line="240" w:lineRule="auto"/>
        <w:tabs>
          <w:tab w:val="right" w:leader="dot" w:pos="9360"/>
        </w:tabs>
      </w:pPr>
      <w:r>
        <w:rPr>
          <w:sz w:val="22"/>
        </w:rPr>
        <w:t>Inspect keyboard shortcuts and focus order</w:t>
      </w:r>
      <w:r>
        <w:rPr>
          <w:sz w:val="22"/>
        </w:rPr>
        <w:tab/>
        <w:t>12</w:t>
      </w:r>
    </w:p>
    <w:p>
      <w:pPr>
        <w:spacing w:after="0" w:line="240" w:lineRule="auto"/>
        <w:tabs>
          <w:tab w:val="right" w:leader="dot" w:pos="9360"/>
        </w:tabs>
      </w:pPr>
      <w:r>
        <w:rPr>
          <w:sz w:val="22"/>
        </w:rPr>
        <w:t>Inspect menus context menus and toolbars</w:t>
      </w:r>
      <w:r>
        <w:rPr>
          <w:sz w:val="22"/>
        </w:rPr>
        <w:tab/>
        <w:t>12</w:t>
      </w:r>
    </w:p>
    <w:p>
      <w:pPr>
        <w:spacing w:after="0" w:line="240" w:lineRule="auto"/>
        <w:tabs>
          <w:tab w:val="right" w:leader="dot" w:pos="9360"/>
        </w:tabs>
      </w:pPr>
      <w:r>
        <w:rPr>
          <w:sz w:val="22"/>
        </w:rPr>
        <w:t>Inspect dynamic and runtime created controls</w:t>
      </w:r>
      <w:r>
        <w:rPr>
          <w:sz w:val="22"/>
        </w:rPr>
        <w:tab/>
        <w:t>13</w:t>
      </w:r>
    </w:p>
    <w:p>
      <w:pPr>
        <w:spacing w:after="0" w:line="240" w:lineRule="auto"/>
        <w:tabs>
          <w:tab w:val="right" w:leader="dot" w:pos="9360"/>
        </w:tabs>
      </w:pPr>
      <w:r>
        <w:rPr>
          <w:sz w:val="22"/>
        </w:rPr>
        <w:t>Inspect responsive layouts anchors and alignments</w:t>
      </w:r>
      <w:r>
        <w:rPr>
          <w:sz w:val="22"/>
        </w:rPr>
        <w:tab/>
        <w:t>13</w:t>
      </w:r>
    </w:p>
    <w:p>
      <w:pPr>
        <w:spacing w:after="0" w:line="240" w:lineRule="auto"/>
        <w:tabs>
          <w:tab w:val="right" w:leader="dot" w:pos="9360"/>
        </w:tabs>
      </w:pPr>
      <w:r>
        <w:rPr>
          <w:sz w:val="22"/>
        </w:rPr>
        <w:t>Inspect component dependencies and support records</w:t>
      </w:r>
      <w:r>
        <w:rPr>
          <w:sz w:val="22"/>
        </w:rPr>
        <w:tab/>
        <w:t>14</w:t>
      </w:r>
    </w:p>
    <w:p>
      <w:pPr>
        <w:spacing w:after="0" w:line="240" w:lineRule="auto"/>
        <w:tabs>
          <w:tab w:val="right" w:leader="dot" w:pos="9360"/>
        </w:tabs>
      </w:pPr>
      <w:r>
        <w:rPr>
          <w:sz w:val="22"/>
        </w:rPr>
        <w:t>Inspect inherited forms and embedded frames</w:t>
      </w:r>
      <w:r>
        <w:rPr>
          <w:sz w:val="22"/>
        </w:rPr>
        <w:tab/>
        <w:t>14</w:t>
      </w:r>
    </w:p>
    <w:p>
      <w:pPr>
        <w:spacing w:after="0" w:line="240" w:lineRule="auto"/>
        <w:tabs>
          <w:tab w:val="right" w:leader="dot" w:pos="9360"/>
        </w:tabs>
      </w:pPr>
      <w:r>
        <w:rPr>
          <w:sz w:val="22"/>
        </w:rPr>
        <w:t>Import actual screenshot evidence</w:t>
      </w:r>
      <w:r>
        <w:rPr>
          <w:sz w:val="22"/>
        </w:rPr>
        <w:tab/>
        <w:t>15</w:t>
      </w:r>
    </w:p>
    <w:p>
      <w:pPr>
        <w:spacing w:after="0" w:line="240" w:lineRule="auto"/>
        <w:tabs>
          <w:tab w:val="right" w:leader="dot" w:pos="9360"/>
        </w:tabs>
      </w:pPr>
      <w:r>
        <w:rPr>
          <w:sz w:val="22"/>
        </w:rPr>
        <w:t>Inspect database connections and datasets</w:t>
      </w:r>
      <w:r>
        <w:rPr>
          <w:sz w:val="22"/>
        </w:rPr>
        <w:tab/>
        <w:t>15</w:t>
      </w:r>
    </w:p>
    <w:p>
      <w:pPr>
        <w:spacing w:after="0" w:line="240" w:lineRule="auto"/>
        <w:tabs>
          <w:tab w:val="right" w:leader="dot" w:pos="9360"/>
        </w:tabs>
      </w:pPr>
      <w:r>
        <w:rPr>
          <w:sz w:val="22"/>
        </w:rPr>
        <w:t>Inspect database engines and versions</w:t>
      </w:r>
      <w:r>
        <w:rPr>
          <w:sz w:val="22"/>
        </w:rPr>
        <w:tab/>
        <w:t>16</w:t>
      </w:r>
    </w:p>
    <w:p>
      <w:pPr>
        <w:spacing w:after="0" w:line="240" w:lineRule="auto"/>
        <w:tabs>
          <w:tab w:val="right" w:leader="dot" w:pos="9360"/>
        </w:tabs>
      </w:pPr>
      <w:r>
        <w:rPr>
          <w:sz w:val="22"/>
        </w:rPr>
        <w:t>Inspect tables views and schemas</w:t>
      </w:r>
      <w:r>
        <w:rPr>
          <w:sz w:val="22"/>
        </w:rPr>
        <w:tab/>
        <w:t>16</w:t>
      </w:r>
    </w:p>
    <w:p>
      <w:pPr>
        <w:pageBreakBefore/>
        <w:spacing w:after="0" w:line="240" w:lineRule="auto"/>
        <w:tabs>
          <w:tab w:val="right" w:leader="dot" w:pos="9360"/>
        </w:tabs>
      </w:pPr>
      <w:r>
        <w:rPr>
          <w:sz w:val="22"/>
        </w:rPr>
        <w:t>Inspect column types defaults and constraints</w:t>
      </w:r>
      <w:r>
        <w:rPr>
          <w:sz w:val="22"/>
        </w:rPr>
        <w:tab/>
        <w:t>17</w:t>
      </w:r>
    </w:p>
    <w:p>
      <w:pPr>
        <w:spacing w:after="0" w:line="240" w:lineRule="auto"/>
        <w:tabs>
          <w:tab w:val="right" w:leader="dot" w:pos="9360"/>
        </w:tabs>
      </w:pPr>
      <w:r>
        <w:rPr>
          <w:sz w:val="22"/>
        </w:rPr>
        <w:t>Inspect primary foreign and unique keys</w:t>
      </w:r>
      <w:r>
        <w:rPr>
          <w:sz w:val="22"/>
        </w:rPr>
        <w:tab/>
        <w:t>18</w:t>
      </w:r>
    </w:p>
    <w:p>
      <w:pPr>
        <w:spacing w:after="0" w:line="240" w:lineRule="auto"/>
        <w:tabs>
          <w:tab w:val="right" w:leader="dot" w:pos="9360"/>
        </w:tabs>
      </w:pPr>
      <w:r>
        <w:rPr>
          <w:sz w:val="22"/>
        </w:rPr>
        <w:t>Inspect indexes and performance evidence</w:t>
      </w:r>
      <w:r>
        <w:rPr>
          <w:sz w:val="22"/>
        </w:rPr>
        <w:tab/>
        <w:t>18</w:t>
      </w:r>
    </w:p>
    <w:p>
      <w:pPr>
        <w:spacing w:after="0" w:line="240" w:lineRule="auto"/>
        <w:tabs>
          <w:tab w:val="right" w:leader="dot" w:pos="9360"/>
        </w:tabs>
      </w:pPr>
      <w:r>
        <w:rPr>
          <w:sz w:val="22"/>
        </w:rPr>
        <w:t>Inspect stored procedures functions and triggers</w:t>
      </w:r>
      <w:r>
        <w:rPr>
          <w:sz w:val="22"/>
        </w:rPr>
        <w:tab/>
        <w:t>19</w:t>
      </w:r>
    </w:p>
    <w:p>
      <w:pPr>
        <w:spacing w:after="0" w:line="240" w:lineRule="auto"/>
        <w:tabs>
          <w:tab w:val="right" w:leader="dot" w:pos="9360"/>
        </w:tabs>
      </w:pPr>
      <w:r>
        <w:rPr>
          <w:sz w:val="22"/>
        </w:rPr>
        <w:t>Inspect entity relationship diagrams</w:t>
      </w:r>
      <w:r>
        <w:rPr>
          <w:sz w:val="22"/>
        </w:rPr>
        <w:tab/>
        <w:t>20</w:t>
      </w:r>
    </w:p>
    <w:p>
      <w:pPr>
        <w:spacing w:after="0" w:line="240" w:lineRule="auto"/>
        <w:tabs>
          <w:tab w:val="right" w:leader="dot" w:pos="9360"/>
        </w:tabs>
      </w:pPr>
      <w:r>
        <w:rPr>
          <w:sz w:val="22"/>
        </w:rPr>
        <w:t>Define table and column business meanings</w:t>
      </w:r>
      <w:r>
        <w:rPr>
          <w:sz w:val="22"/>
        </w:rPr>
        <w:tab/>
        <w:t>21</w:t>
      </w:r>
    </w:p>
    <w:p>
      <w:pPr>
        <w:spacing w:after="0" w:line="240" w:lineRule="auto"/>
        <w:tabs>
          <w:tab w:val="right" w:leader="dot" w:pos="9360"/>
        </w:tabs>
      </w:pPr>
      <w:r>
        <w:rPr>
          <w:sz w:val="22"/>
        </w:rPr>
        <w:t>Follow dataset and screen field bindings</w:t>
      </w:r>
      <w:r>
        <w:rPr>
          <w:sz w:val="22"/>
        </w:rPr>
        <w:tab/>
        <w:t>22</w:t>
      </w:r>
    </w:p>
    <w:p>
      <w:pPr>
        <w:spacing w:after="0" w:line="240" w:lineRule="auto"/>
        <w:tabs>
          <w:tab w:val="right" w:leader="dot" w:pos="9360"/>
        </w:tabs>
      </w:pPr>
      <w:r>
        <w:rPr>
          <w:sz w:val="22"/>
        </w:rPr>
        <w:t>Inspect database read and write operations</w:t>
      </w:r>
      <w:r>
        <w:rPr>
          <w:sz w:val="22"/>
        </w:rPr>
        <w:tab/>
        <w:t>22</w:t>
      </w:r>
    </w:p>
    <w:p>
      <w:pPr>
        <w:spacing w:after="0" w:line="240" w:lineRule="auto"/>
        <w:tabs>
          <w:tab w:val="right" w:leader="dot" w:pos="9360"/>
        </w:tabs>
      </w:pPr>
      <w:r>
        <w:rPr>
          <w:sz w:val="22"/>
        </w:rPr>
        <w:t>Inspect transaction and rollback paths</w:t>
      </w:r>
      <w:r>
        <w:rPr>
          <w:sz w:val="22"/>
        </w:rPr>
        <w:tab/>
        <w:t>23</w:t>
      </w:r>
    </w:p>
    <w:p>
      <w:pPr>
        <w:spacing w:after="0" w:line="240" w:lineRule="auto"/>
        <w:tabs>
          <w:tab w:val="right" w:leader="dot" w:pos="9360"/>
        </w:tabs>
      </w:pPr>
      <w:r>
        <w:rPr>
          <w:sz w:val="22"/>
        </w:rPr>
        <w:t>Inspect field validation and transformations</w:t>
      </w:r>
      <w:r>
        <w:rPr>
          <w:sz w:val="22"/>
        </w:rPr>
        <w:tab/>
        <w:t>24</w:t>
      </w:r>
    </w:p>
    <w:p>
      <w:pPr>
        <w:spacing w:after="0" w:line="240" w:lineRule="auto"/>
        <w:tabs>
          <w:tab w:val="right" w:leader="dot" w:pos="9360"/>
        </w:tabs>
      </w:pPr>
      <w:r>
        <w:rPr>
          <w:sz w:val="22"/>
        </w:rPr>
        <w:t>Trace inputs and destination candidates</w:t>
      </w:r>
      <w:r>
        <w:rPr>
          <w:sz w:val="22"/>
        </w:rPr>
        <w:tab/>
        <w:t>24</w:t>
      </w:r>
    </w:p>
    <w:p>
      <w:pPr>
        <w:spacing w:after="0" w:line="240" w:lineRule="auto"/>
        <w:tabs>
          <w:tab w:val="right" w:leader="dot" w:pos="9360"/>
        </w:tabs>
      </w:pPr>
      <w:r>
        <w:rPr>
          <w:sz w:val="22"/>
        </w:rPr>
        <w:t>Inspect migration and schema-version history</w:t>
      </w:r>
      <w:r>
        <w:rPr>
          <w:sz w:val="22"/>
        </w:rPr>
        <w:tab/>
        <w:t>25</w:t>
      </w:r>
    </w:p>
    <w:p>
      <w:pPr>
        <w:spacing w:after="0" w:line="240" w:lineRule="auto"/>
        <w:tabs>
          <w:tab w:val="right" w:leader="dot" w:pos="9360"/>
        </w:tabs>
      </w:pPr>
      <w:r>
        <w:rPr>
          <w:sz w:val="22"/>
        </w:rPr>
        <w:t>Inspect import and export file formats</w:t>
      </w:r>
      <w:r>
        <w:rPr>
          <w:sz w:val="22"/>
        </w:rPr>
        <w:tab/>
        <w:t>26</w:t>
      </w:r>
    </w:p>
    <w:p>
      <w:pPr>
        <w:spacing w:after="0" w:line="240" w:lineRule="auto"/>
        <w:tabs>
          <w:tab w:val="right" w:leader="dot" w:pos="9360"/>
        </w:tabs>
      </w:pPr>
      <w:r>
        <w:rPr>
          <w:sz w:val="22"/>
        </w:rPr>
        <w:t>Record target data retention and archival policies</w:t>
      </w:r>
      <w:r>
        <w:rPr>
          <w:sz w:val="22"/>
        </w:rPr>
        <w:tab/>
        <w:t>26</w:t>
      </w:r>
    </w:p>
    <w:p>
      <w:pPr>
        <w:spacing w:after="0" w:line="240" w:lineRule="auto"/>
        <w:tabs>
          <w:tab w:val="right" w:leader="dot" w:pos="9360"/>
        </w:tabs>
      </w:pPr>
      <w:r>
        <w:rPr>
          <w:sz w:val="22"/>
        </w:rPr>
        <w:t>Record target data quality rules and check reports</w:t>
      </w:r>
      <w:r>
        <w:rPr>
          <w:sz w:val="22"/>
        </w:rPr>
        <w:tab/>
        <w:t>27</w:t>
      </w:r>
    </w:p>
    <w:p>
      <w:pPr>
        <w:spacing w:after="0" w:line="240" w:lineRule="auto"/>
        <w:tabs>
          <w:tab w:val="right" w:leader="dot" w:pos="9360"/>
        </w:tabs>
      </w:pPr>
      <w:r>
        <w:rPr>
          <w:sz w:val="22"/>
        </w:rPr>
        <w:t>Record backup and restoration requirements</w:t>
      </w:r>
      <w:r>
        <w:rPr>
          <w:sz w:val="22"/>
        </w:rPr>
        <w:tab/>
        <w:t>28</w:t>
      </w:r>
    </w:p>
    <w:p>
      <w:pPr>
        <w:spacing w:after="0" w:line="240" w:lineRule="auto"/>
        <w:tabs>
          <w:tab w:val="right" w:leader="dot" w:pos="9360"/>
        </w:tabs>
      </w:pPr>
      <w:r>
        <w:rPr>
          <w:sz w:val="22"/>
        </w:rPr>
        <w:t>Compare screen history and visual changes</w:t>
      </w:r>
      <w:r>
        <w:rPr>
          <w:sz w:val="22"/>
        </w:rPr>
        <w:tab/>
        <w:t>28</w:t>
      </w:r>
    </w:p>
    <w:p>
      <w:pPr>
        <w:spacing w:after="0" w:line="240" w:lineRule="auto"/>
        <w:tabs>
          <w:tab w:val="right" w:leader="dot" w:pos="9360"/>
        </w:tabs>
      </w:pPr>
      <w:r>
        <w:rPr>
          <w:sz w:val="22"/>
        </w:rPr>
        <w:t>Record user actions and business purposes</w:t>
      </w:r>
      <w:r>
        <w:rPr>
          <w:sz w:val="22"/>
        </w:rPr>
        <w:tab/>
        <w:t>29</w:t>
      </w:r>
    </w:p>
    <w:p>
      <w:pPr>
        <w:spacing w:after="0" w:line="240" w:lineRule="auto"/>
        <w:tabs>
          <w:tab w:val="right" w:leader="dot" w:pos="9360"/>
        </w:tabs>
      </w:pPr>
      <w:r>
        <w:rPr>
          <w:sz w:val="22"/>
        </w:rPr>
        <w:t>Write attributed knowledge</w:t>
      </w:r>
      <w:r>
        <w:rPr>
          <w:sz w:val="22"/>
        </w:rPr>
        <w:tab/>
        <w:t>29</w:t>
      </w:r>
    </w:p>
    <w:p>
      <w:pPr>
        <w:spacing w:after="0" w:line="240" w:lineRule="auto"/>
        <w:tabs>
          <w:tab w:val="right" w:leader="dot" w:pos="9360"/>
        </w:tabs>
      </w:pPr>
      <w:r>
        <w:rPr>
          <w:sz w:val="22"/>
        </w:rPr>
        <w:t>Link authored sections to exact evidence</w:t>
      </w:r>
      <w:r>
        <w:rPr>
          <w:sz w:val="22"/>
        </w:rPr>
        <w:tab/>
        <w:t>30</w:t>
      </w:r>
    </w:p>
    <w:p>
      <w:pPr>
        <w:spacing w:after="0" w:line="240" w:lineRule="auto"/>
        <w:tabs>
          <w:tab w:val="right" w:leader="dot" w:pos="9360"/>
        </w:tabs>
      </w:pPr>
      <w:r>
        <w:rPr>
          <w:sz w:val="22"/>
        </w:rPr>
        <w:t>Review and retire knowledge</w:t>
      </w:r>
      <w:r>
        <w:rPr>
          <w:sz w:val="22"/>
        </w:rPr>
        <w:tab/>
        <w:t>30</w:t>
      </w:r>
    </w:p>
    <w:p>
      <w:pPr>
        <w:spacing w:after="0" w:line="240" w:lineRule="auto"/>
        <w:tabs>
          <w:tab w:val="right" w:leader="dot" w:pos="9360"/>
        </w:tabs>
      </w:pPr>
      <w:r>
        <w:rPr>
          <w:sz w:val="22"/>
        </w:rPr>
        <w:t>Review changed knowledge against evidence</w:t>
      </w:r>
      <w:r>
        <w:rPr>
          <w:sz w:val="22"/>
        </w:rPr>
        <w:tab/>
        <w:t>31</w:t>
      </w:r>
    </w:p>
    <w:p>
      <w:pPr>
        <w:spacing w:after="0" w:line="240" w:lineRule="auto"/>
        <w:tabs>
          <w:tab w:val="right" w:leader="dot" w:pos="9360"/>
        </w:tabs>
      </w:pPr>
      <w:r>
        <w:rPr>
          <w:sz w:val="22"/>
        </w:rPr>
        <w:t>Answer focused author questions</w:t>
      </w:r>
      <w:r>
        <w:rPr>
          <w:sz w:val="22"/>
        </w:rPr>
        <w:tab/>
        <w:t>31</w:t>
      </w:r>
    </w:p>
    <w:p>
      <w:pPr>
        <w:spacing w:after="0" w:line="240" w:lineRule="auto"/>
        <w:tabs>
          <w:tab w:val="right" w:leader="dot" w:pos="9360"/>
        </w:tabs>
      </w:pPr>
      <w:r>
        <w:rPr>
          <w:sz w:val="22"/>
        </w:rPr>
        <w:t>Preserve saved runtime observations</w:t>
      </w:r>
      <w:r>
        <w:rPr>
          <w:sz w:val="22"/>
        </w:rPr>
        <w:tab/>
        <w:t>31</w:t>
      </w:r>
    </w:p>
    <w:p>
      <w:pPr>
        <w:spacing w:after="0" w:line="240" w:lineRule="auto"/>
        <w:tabs>
          <w:tab w:val="right" w:leader="dot" w:pos="9360"/>
        </w:tabs>
      </w:pPr>
      <w:r>
        <w:rPr>
          <w:sz w:val="22"/>
        </w:rPr>
        <w:t>Retain captures and review rename continuity</w:t>
      </w:r>
      <w:r>
        <w:rPr>
          <w:sz w:val="22"/>
        </w:rPr>
        <w:tab/>
        <w:t>32</w:t>
      </w:r>
    </w:p>
    <w:p>
      <w:pPr>
        <w:spacing w:after="0" w:line="240" w:lineRule="auto"/>
        <w:tabs>
          <w:tab w:val="right" w:leader="dot" w:pos="9360"/>
        </w:tabs>
      </w:pPr>
      <w:r>
        <w:rPr>
          <w:sz w:val="22"/>
        </w:rPr>
        <w:t>Back up and restore a complete database</w:t>
      </w:r>
      <w:r>
        <w:rPr>
          <w:sz w:val="22"/>
        </w:rPr>
        <w:tab/>
        <w:t>32</w:t>
      </w:r>
    </w:p>
    <w:p>
      <w:pPr>
        <w:spacing w:after="0" w:line="240" w:lineRule="auto"/>
        <w:tabs>
          <w:tab w:val="right" w:leader="dot" w:pos="9360"/>
        </w:tabs>
      </w:pPr>
      <w:r>
        <w:rPr>
          <w:sz w:val="22"/>
        </w:rPr>
        <w:t>Publish manuals and handoffs</w:t>
      </w:r>
      <w:r>
        <w:rPr>
          <w:sz w:val="22"/>
        </w:rPr>
        <w:tab/>
        <w:t>32</w:t>
      </w:r>
    </w:p>
    <w:p>
      <w:pPr>
        <w:spacing w:after="0" w:line="240" w:lineRule="auto"/>
        <w:tabs>
          <w:tab w:val="right" w:leader="dot" w:pos="9360"/>
        </w:tabs>
      </w:pPr>
      <w:r>
        <w:rPr>
          <w:sz w:val="22"/>
        </w:rPr>
        <w:t>Translate and review saved sections</w:t>
      </w:r>
      <w:r>
        <w:rPr>
          <w:sz w:val="22"/>
        </w:rPr>
        <w:tab/>
        <w:t>33</w:t>
      </w:r>
    </w:p>
    <w:p>
      <w:pPr>
        <w:spacing w:after="0" w:line="240" w:lineRule="auto"/>
        <w:tabs>
          <w:tab w:val="right" w:leader="dot" w:pos="9360"/>
        </w:tabs>
      </w:pPr>
      <w:r>
        <w:rPr>
          <w:sz w:val="22"/>
        </w:rPr>
        <w:t>Publish localized text and source browsing</w:t>
      </w:r>
      <w:r>
        <w:rPr>
          <w:sz w:val="22"/>
        </w:rPr>
        <w:tab/>
        <w:t>33</w:t>
      </w:r>
    </w:p>
    <w:p>
      <w:pPr>
        <w:spacing w:after="0" w:line="240" w:lineRule="auto"/>
        <w:tabs>
          <w:tab w:val="right" w:leader="dot" w:pos="9360"/>
        </w:tabs>
      </w:pPr>
      <w:r>
        <w:rPr>
          <w:sz w:val="22"/>
        </w:rPr>
        <w:t>Validate a bundle in the application</w:t>
      </w:r>
      <w:r>
        <w:rPr>
          <w:sz w:val="22"/>
        </w:rPr>
        <w:tab/>
        <w:t>34</w:t>
      </w:r>
    </w:p>
    <w:p>
      <w:pPr>
        <w:spacing w:after="0" w:line="240" w:lineRule="auto"/>
        <w:tabs>
          <w:tab w:val="right" w:leader="dot" w:pos="9360"/>
        </w:tabs>
      </w:pPr>
      <w:r>
        <w:rPr>
          <w:sz w:val="22"/>
        </w:rPr>
        <w:t>Validate and preserve exports</w:t>
      </w:r>
      <w:r>
        <w:rPr>
          <w:sz w:val="22"/>
        </w:rPr>
        <w:tab/>
        <w:t>34</w:t>
      </w:r>
    </w:p>
    <w:p>
      <w:pPr>
        <w:spacing w:after="0" w:line="240" w:lineRule="auto"/>
        <w:tabs>
          <w:tab w:val="right" w:leader="dot" w:pos="9360"/>
        </w:tabs>
      </w:pPr>
      <w:r>
        <w:rPr>
          <w:sz w:val="22"/>
        </w:rPr>
        <w:t>Troubleshoot common states</w:t>
      </w:r>
      <w:r>
        <w:rPr>
          <w:sz w:val="22"/>
        </w:rPr>
        <w:tab/>
        <w:t>34</w:t>
      </w:r>
    </w:p>
    <w:p>
      <w:pPr>
        <w:spacing w:after="0" w:line="240" w:lineRule="auto"/>
        <w:tabs>
          <w:tab w:val="right" w:leader="dot" w:pos="9360"/>
        </w:tabs>
      </w:pPr>
      <w:r>
        <w:rPr>
          <w:sz w:val="22"/>
        </w:rPr>
        <w:t>Practice a maintenance handoff</w:t>
      </w:r>
      <w:r>
        <w:rPr>
          <w:sz w:val="22"/>
        </w:rPr>
        <w:tab/>
        <w:t>35</w:t>
      </w:r>
    </w:p>
    <w:p>
      <w:pPr>
        <w:spacing w:after="0" w:line="240" w:lineRule="auto"/>
        <w:tabs>
          <w:tab w:val="right" w:leader="dot" w:pos="9360"/>
        </w:tabs>
      </w:pPr>
      <w:r>
        <w:rPr>
          <w:sz w:val="22"/>
        </w:rPr>
        <w:t>Understand implementation status</w:t>
      </w:r>
      <w:r>
        <w:rPr>
          <w:sz w:val="22"/>
        </w:rPr>
        <w:tab/>
        <w:t>35</w:t>
      </w:r>
    </w:p>
    <w:p>
      <w:pPr>
        <w:spacing w:after="0" w:line="240" w:lineRule="auto"/>
        <w:tabs>
          <w:tab w:val="right" w:leader="dot" w:pos="9360"/>
        </w:tabs>
      </w:pPr>
      <w:r>
        <w:rPr>
          <w:sz w:val="22"/>
        </w:rPr>
        <w:t>Source and revision evidence</w:t>
      </w:r>
      <w:r>
        <w:rPr>
          <w:sz w:val="22"/>
        </w:rPr>
        <w:tab/>
        <w:t>35</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Change impact and Data lineage. Select a relevant routine or component before choosing a narrow graph. Ordinary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ordinary views retain their 120-node bound; lineage permits 200.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DPH-WP3-15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Inspect database read and write operations</w:t>
      </w:r>
    </w:p>
    <w:p>
      <w:r>
        <w:t>Choose Database connections in the upper-right page selector, then choose database operation in its kind filter. Clear the text filter to see all captured requests; enter Post, Delete, read, insert or a calling routine name to narrow the list. Select a row. The evidence memo begins with its operation kind, requested effect and evidence basis. Operation requests are source candidates; DPH does not run the selected application or connect to its database.</w:t>
      </w:r>
    </w:p>
    <w:p>
      <w:r>
        <w:t>Open, Refresh, navigation and search methods are read candidates. Append and Insert prepare a new record buffer; Edit prepares an update. AppendRecord and InsertRecord request insertion. Post submits a pending insert or edit, depending on the dataset state; cached updates can defer persistence. Delete requests deletion of the current record. ApplyUpdates can submit mixed pending writes. Cancel and CancelUpdates concern pending edits or cached changes. None of these calls proves transaction commit or rollback.</w:t>
      </w:r>
    </w:p>
    <w:p>
      <w:r>
        <w:t>Literal SELECT, INSERT, UPDATE and DELETE text is classified separately from calls. Configuring SQL does not execute it. Joined statements retain their lexical family even when table and column binding is unsupported. Dynamic SQL, mixed batches and unsupported prefixes remain unknown. SQL values are omitted from this inventory. Inspect approved source locally to understand parameters and context.</w:t>
      </w:r>
    </w:p>
    <w:p>
      <w:r>
        <w:t>Select Target via DataSet in the reference selector and click Follow reference to inspect the exact captured receiver. A dataset lists reverse operation references in the same selector. Click Source to open the original location only after attaching unchanged source; detached, changed and historical evidence refuses navigation. Use the horizontal toolbar scrollbar to reach Follow reference and Source when they are outside the visible area. Scroll within the evidence memo for engine evidence and unknowns. Full reassessment upgrades an older capture to the new analyzer. Explicit run and test directions are in docs/guides/Database_Operations_Run_and_Test.txt.</w:t>
      </w:r>
    </w:p>
    <w:p>
      <w:pPr>
        <w:pStyle w:val="Heading1"/>
      </w:pPr>
      <w:r>
        <w:t>Inspect transaction and rollback paths</w:t>
      </w:r>
    </w:p>
    <w:p>
      <w:r>
        <w:t>Choose Database connections in the upper-right page selector. In its kind filter choose transaction operation, then clear the text filter. Select StartTransaction or BeginTrans to inspect a begin request. Select Commit, Rollback or a retaining variant to inspect that boundary. Use the calling routine name to narrow the list. Searches include linked references, so a search for a begin call may also show its connected commit and rollback rows.</w:t>
      </w:r>
    </w:p>
    <w:p>
      <w:r>
        <w:t>The evidence memo begins with TRANSACTION PATHS (SOURCE POSSIBILITIES). Each route leads to the next explicit transaction request on the same declared receiver, or to a normal/exception routine exit without another boundary. Possible normal and exception paths remain distinct. Conditional/loop routes and duplicated finally cleanup copies are labeled. A route is a conservative source possibility, not proof that the transaction started or that a commit or rollback succeeded.</w:t>
      </w:r>
    </w:p>
    <w:p>
      <w:r>
        <w:t>In the reference selector choose a Target via possible normal path or possible exception path, then click Follow reference to inspect the next boundary. Target via Transaction opens the captured receiver; Used by returns to an earlier boundary. Follow reference clears filters to reveal its exact target, so reselect transaction operation when returning to the inventory. Scroll the command bar sideways to reach Follow reference and Source. Source requires unchanged attached source; a detached cache refuses navigation.</w:t>
      </w:r>
    </w:p>
    <w:p>
      <w:r>
        <w:t>CommitRetaining and RollbackRetaining preserve or restart transaction context according to the provider. RollbackSavepoint concerns a savepoint rather than necessarily the full transaction. Post and Cancel are dataset operations and do not establish transaction completion. A visible exit without another boundary requires source and caller review; implicit transactions, aliases, external effects and provider behavior remain unknown. Missing, ambiguous or truncated flow must never be read as safe completion. Explicit launch and test steps are in docs/guides/Database_Transactions_Run_and_Test.txt.</w:t>
      </w:r>
    </w:p>
    <w:p>
      <w:pPr>
        <w:pStyle w:val="Heading1"/>
      </w:pPr>
      <w:r>
        <w:t>Inspect field validation and transformations</w:t>
      </w:r>
    </w:p>
    <w:p>
      <w:r>
        <w:t>Open the intended project or cache and choose Database connections in the upper-right page selector. Choose data rule in its kind filter. Clear the text filter, then search for a field, handler, predicate, constraint or transformation expression. Select a row. The labeled evidence memo begins DATA VALIDATION AND TRANSFORMATION EVIDENCE and shows Input expression, Output expression, Constraint, Captured expression and conditional compilation context. Drag the divider below the list or scroll the memo for the full explanation.</w:t>
      </w:r>
    </w:p>
    <w:p>
      <w:r>
        <w:t>Declared field constraints include captured Required, ReadOnly, Size, Precision, MinValue, MaxValue, CustomConstraint, DefaultExpression, error-message and edit-mask declarations. Numeric and constraint structure remains visible; literal contents are omitted. A declaration does not establish an inherited default or a successfully enforced rule. Default expressions are not evaluated. An omitted message or mask can be inspected through approved hash-checked Source.</w:t>
      </w:r>
    </w:p>
    <w:p>
      <w:r>
        <w:t>Validation and conversion hooks include OnValidate, OnSetText, OnGetText, BeforePost and other recognized dataset or input events. Captured handler conditions, raises, early returns and assignment expressions provide technical rule candidates. Assignment rows identify the written expression and its input expression, with links to available lexical declarations. Handler context identifies its associated field, dataset or bound control; it does not prove that every statement acts on that field or that an event actually ran.</w:t>
      </w:r>
    </w:p>
    <w:p>
      <w:r>
        <w:t>Scroll the command bar sideways to reach the reference selector, Follow reference and Source. Follow rule context to the field or dataset, handler to its captured routine, or lexical input/output to a declaration. Follow clears filters to show the exact target; reselect data rule afterward. Source requires unchanged attached source in the displayed generation. Missing or ambiguous handlers and unavailable syntax remain explicit. The shared 10000-row inventory limit reports omitted rules. Full launch, practice and test directions are in docs/guides/Data_Rules_Run_and_Test.txt. DPH does not run target code, SQL or validation.</w:t>
      </w:r>
    </w:p>
    <w:p>
      <w:pPr>
        <w:pStyle w:val="Heading1"/>
      </w:pPr>
      <w:r>
        <w:t>Trace inputs and destination candidates</w:t>
      </w:r>
    </w:p>
    <w:p>
      <w:r>
        <w:t>Start DPH from bin/Win32/Debug/DelphiProjectHandoff.exe. Attach the application you intend to document or open its captured database. Choose Database connections in the upper-right page selector. Choose bound control, persistent field, data rule or database operation in the kind selector and select a relevant row. Drag the horizontal toolbar scrollbar fully right to reveal Both directions, Trace lineage and Lineage diagram.</w:t>
      </w:r>
    </w:p>
    <w:p>
      <w:r>
        <w:t>Click Trace lineage. The labeled memo shows the starting point, direction, capture generation and truncation state, followed by scoped route nodes, captured edges and unresolved breaks. Each node identifies its captured source location and SHA256. Select a Lineage hop in the reference selector, then click Follow reference. A component or rule opens its inventory evidence; a semantic declaration or file output opens Explain. To open the originally selected inventory row in unchanged attached source, return to Database connections and click Source. For another traced node, follow that node first and use its own Source command.</w:t>
      </w:r>
    </w:p>
    <w:p>
      <w:r>
        <w:t>Both directions includes serialized controls and fields, data-source and dataset references, rule context, procedure reads and writes, operations and file-output candidates. This is a source relationship neighborhood. A procedure that reads one variable and writes another does not establish a value transfer between them. Dependencies are explicitly labeled separately from context. Choose Inputs for upstream dependencies or Destinations for downstream dependencies, then click Trace lineage again. These directions omit broad procedure read/write/handler context while retaining captured binding and rule context.</w:t>
      </w:r>
    </w:p>
    <w:p>
      <w:r>
        <w:t>Click Lineage diagram to open Graphs with Data lineage selected. Orange dashed arrows show qualified source relationships. The HTML diagram labels arrows and lists unresolved breaks below it. Select a component node to open Database connections or a declaration/output node to open Explain. A native graph remains available when the embedded browser is unavailable. Exact node identity is retained and grouping is disabled. To return to the textual route, choose Database connections in the page selector, select the intended starting row and click Trace lineage.</w:t>
      </w:r>
    </w:p>
    <w:p>
      <w:r>
        <w:t>A file destination node identifies a captured writer and whether the destination expression was literal or dynamic. Follow it to Explain and inspect captured source for the expression. Projected lineage omits literal contents and configuration values. No file is produced and no SQL is executed by the trace. Unknown handlers, absent dataset references, unavailable semantic targets, connection boundaries and omitted routes remain explicit. A final captured endpoint does not establish successful delivery, current values or runtime execution. Limits are 200 returned nodes, 800 edges and 12 hops; index limits are also reported. Full directions and a controlled practice project are in docs/guides/Data_Lineage_Run_and_Test.txt.</w:t>
      </w:r>
    </w:p>
    <w:p>
      <w:pPr>
        <w:pStyle w:val="Heading1"/>
      </w:pPr>
      <w:r>
        <w:t>Inspect migration and schema-version history</w:t>
      </w:r>
    </w:p>
    <w:p>
      <w:r>
        <w:t>Start bin/Win32/Debug/DelphiProjectHandoff.exe and attach the application you intend to document, or open its captured database. In the upper-right page selector choose Database schema. In the leftmost kind selector choose migration. Keep the state selector at All to include readable script candidates and migration gaps. Enter part of a script filename or an explicit user_version assignment in the search box. Select a row.</w:t>
      </w:r>
    </w:p>
    <w:p>
      <w:r>
        <w:t>A migration changes database structure or data between application versions. DPH shows each referenced captured SQL script as a candidate. The evidence memo begins with a filename order candidate, explicit target-version assignments, verification requests, applied status and source fingerprint. Leading numeric filename prefixes provide intended-order candidates within each directory. Equivalent numbers such as 001 and 1 produce an explicit conflict. File numbers and captured loader enumeration do not establish the order used by a migration runner.</w:t>
      </w:r>
    </w:p>
    <w:p>
      <w:r>
        <w:t>SQLite user_version assignments with a supported nonnegative integer preserve their schema qualifier and statement line. Multiple assignments remain visible; DPH does not select a deployed winner. A query of user_version and SQLite schema_version are not promoted to an application target version. Other migration-framework version metadata and dynamic expressions remain unknown. Captured integrity_check, quick_check and foreign_key_check requests identify potential verification work; DPH does not run them and does not report a successful result.</w:t>
      </w:r>
    </w:p>
    <w:p>
      <w:r>
        <w:t>Drag the command bar scrollbar right to reveal the relationship selector and Follow relationship. Choose a captured schema evidence link and click Follow relationship to inspect the script declaration or gap. To read a script, select its migration row and click Open source. Source opens only when the attached bytes still match the capture. A migration gap cites the Pascal loader of an unavailable script; no missing SQL is reconstructed. Clear filters and use First page or Next page for larger inventories.</w:t>
      </w:r>
    </w:p>
    <w:p>
      <w:r>
        <w:t>Applied state remains unknown because source text is not a deployment ledger. Ask the maintainer to supply the intended migration framework, ordering rules, expected schema versions and recorded verification results. Save attributed explanations through Knowledge and review them against evidence. Full commands and a controlled practice project are in docs/guides/Schema_History_Run_and_Test.txt.</w:t>
      </w:r>
    </w:p>
    <w:p>
      <w:pPr>
        <w:pStyle w:val="Heading1"/>
      </w:pPr>
      <w:r>
        <w:t>Inspect import and export file formats</w:t>
      </w:r>
    </w:p>
    <w:p>
      <w:r>
        <w:t>Start bin/Win32/Debug/DelphiProjectHandoff.exe. Attach the application you intend to document or open its captured database. Choose Import/export formats in the upper-right page selector. A file-format contract explains how another program can produce or consume a file: its encoding, structure, required fields, compatibility and error handling.</w:t>
      </w:r>
    </w:p>
    <w:p>
      <w:r>
        <w:t>Use the kind selector to choose import, export or captured resource. Enter a format, routine or encoding in the search field. Select a row and read Format evidence and saved contract below the list. First page and Next page navigate inventories over 250 rows. Scroll the command bar horizontally when the window is narrow. Open source opens unchanged attached evidence; Explain routine selects the captured enclosing routine.</w:t>
      </w:r>
    </w:p>
    <w:p>
      <w:r>
        <w:t>Captured JSON, XML and INI resources expose bounded member structure with scalar values omitted. This is observed structure, not a formal validation schema. Transfer API spellings identify candidates and literal filename extensions; explicit TEncoding arguments remain source candidates. Captured source decoding is separate from a transfer encoding contract. Dynamic paths, defaults, missing structure and unsupported formats remain unknown.</w:t>
      </w:r>
    </w:p>
    <w:p>
      <w:r>
        <w:t>Click Record/open contract. An existing contract opens in Knowledge; otherwise DPH prepares a draft with fields for format/version, purpose, encoding and BOM, schema, delimiters and escaping, producer, consumer, validation, compatibility and verification. Complete each field or explicitly record Unknown and its responsible maintainer. Enter the named author, click Save and review separately against evidence. Preparing the draft does not save or verify it. Clear an unsaved Knowledge draft before opening a different contract.</w:t>
      </w:r>
    </w:p>
    <w:p>
      <w:r>
        <w:t>Contracts retain an exact captured source identity. Reassessment with changed source creates a different contract identity; previous records remain available in Knowledge. DPH does not execute a transfer or infer successful compatibility. Detailed commands and controlled practice instructions are in docs/guides/File_Formats_Run_and_Test.txt.</w:t>
      </w:r>
    </w:p>
    <w:p>
      <w:pPr>
        <w:pStyle w:val="Heading1"/>
      </w:pPr>
      <w:r>
        <w:t>Record target data retention and archival policies</w:t>
      </w:r>
    </w:p>
    <w:p>
      <w:r>
        <w:t>Start bin/Win32/Debug/DelphiProjectHandoff.exe and attach the application you want to document, or open its saved database. Choose Target data retention in the upper-right page selector. This page records the selected application's data obligations and archival procedures. DPH database snapshot retention remains on Database tools and is a separate feature.</w:t>
      </w:r>
    </w:p>
    <w:p>
      <w:r>
        <w:t>Click New policy. DPH opens an unsaved Knowledge draft. Replace the default title with a descriptive data scope before saving; saved titles remain stable. Enter the named contributor and complete the body below its first heading. The prompts cover data categories and tables/files, policy basis, retention period and clock-start event, expiry calculation, archive trigger and schedule, archive destination and permissions, disposal, legal holds, ownership, retrieval, failure monitoring, verification evidence and remaining unknowns. Record Unknown and its responsible maintainer when a fact is unavailable.</w:t>
      </w:r>
    </w:p>
    <w:p>
      <w:r>
        <w:t>To link an implementing routine, choose Knowledge links in the page selector. Select entity in the target-kind selector, enter the routine name, and click Find targets. Select the semantic_routine result, choose depends_on, then Add link. To cite an operating procedure saved in Knowledge, choose section, search its title and Add link with cites. Return to Knowledge and click Save. Links are explicit captured identities or exact section revisions; a written job name alone does not resolve an implementation link. Link search returns up to 200 candidates, so narrow the filter when necessary.</w:t>
      </w:r>
    </w:p>
    <w:p>
      <w:r>
        <w:t>Return to Target data retention. Filter by review state or search policy text, contributor, scope or job. Select a saved policy to read its original contributor, current revision author, reviewer and explicit link count. First page and Next page cover registers larger than 250 policies. Scroll the toolbar sideways in a narrow window. Open policy loads the saved Knowledge record for editing and named review. Implementation links opens its saved links; select a link and Open saved target to inspect its captured routine or exact procedure revision.</w:t>
      </w:r>
    </w:p>
    <w:p>
      <w:r>
        <w:t>Save creates a pending review revision. Review separately against policy evidence; editing a reviewed policy reopens review and retains earlier revisions. Save or discard an existing Knowledge draft before opening another policy. DPH does not execute archival, deletion, SQL or target jobs. Human review does not establish legal compliance or observed success; Unknown fields remain unresolved. Detailed run, practice and test commands are in docs/guides/Data_Retention_Run_and_Test.txt.</w:t>
      </w:r>
    </w:p>
    <w:p>
      <w:pPr>
        <w:pStyle w:val="Heading1"/>
      </w:pPr>
      <w:r>
        <w:t>Record target data quality rules and check reports</w:t>
      </w:r>
    </w:p>
    <w:p>
      <w:r>
        <w:t>Choose Target data quality in the upper-right page selector after attaching a source project or opening its database. New check prepares an unsaved Knowledge draft. Enter a descriptive title and named author. Preserve the first heading and record the check purpose and version, tables/fields/files and environment, quality dimension, measurable threshold and units, prerequisites and sampling, implementing procedure and schedule, responsible owner, failure severity and remediation, observed results, evidence and remaining unknowns. Unknown is an unresolved answer and should name its responsible maintainer.</w:t>
      </w:r>
    </w:p>
    <w:p>
      <w:r>
        <w:t>Use Knowledge links to attach captured semantic routines, constraints or exact procedure-section revisions. Choose entity, evidence or section, narrow the search, Find targets, select a result, choose depends_on or cites, and Add link. Return to Knowledge and Save. A typed routine name in prose is not a resolved link. Saving leaves needs_review; named review is separate. Open check returns to the saved record for editing, history and review. Implementation links opens its exact links. Search and review-state filters narrow the register; Next page covers lists exceeding 250 rows.</w:t>
      </w:r>
    </w:p>
    <w:p>
      <w:r>
        <w:t>To preserve an existing check report, enter the report contributor name and the check/environment/measurement context on Target data quality, then click Import check report. Select an explicitly saved UTF-8 .txt, .log or .json extract no larger than 32 KiB. Import immediately saves a new pending-review quality record containing the literal text, contributor, context, import UTC, captured generation and original byte SHA256. No file commands or markup execute. The imported text may contain sensitive data, so prepare an appropriate focused extract first. Report measurements, timestamps and runtime origin remain contributor claims.</w:t>
      </w:r>
    </w:p>
    <w:p>
      <w:r>
        <w:t>To connect a report with its rule, Open check on the rule, choose Implementation links or Knowledge links, select section and search Imported check report plus its descriptive context. Choose the exact report revision, cites and Add link, then return to Knowledge and Save. Earlier linked revisions remain exact when a report is edited. Read every report and procedure against its source; human review does not establish live data quality. Save or discard a current draft before opening another record or importing a report. DPH database integrity checks are a separate feature.</w:t>
      </w:r>
    </w:p>
    <w:p>
      <w:r>
        <w:t>In a narrow window scroll each command bar horizontally to reach all commands and report fields; the labeled evidence memo scrolls independently. Detailed run, practice, import and test directions are in docs/guides/Data_Quality_Run_and_Test.txt. DPH does not run target SQL, checks or applications. Captured schema constraints and validation routines are declarations and candidates rather than observed enforcement.</w:t>
      </w:r>
    </w:p>
    <w:p>
      <w:pPr>
        <w:pStyle w:val="Heading1"/>
      </w:pPr>
      <w:r>
        <w:t>Record backup and restoration requirements</w:t>
      </w:r>
    </w:p>
    <w:p>
      <w:r>
        <w:t>After attaching the selected application or opening its saved database, choose Target backup and restore in the upper-right page selector. This register documents the selected application. DPH portable database backups remain on Database tools and serve a separate purpose. New plan opens an unsaved Knowledge draft. Enter a descriptive title and named author and preserve the first heading.</w:t>
      </w:r>
    </w:p>
    <w:p>
      <w:r>
        <w:t>Complete the data scope, recovery point objective and maximum acceptable data loss, recovery time objective and priority, backup type and consistency, schedule, destination, retention and offsite copies, encryption and key responsibility, prerequisites and dependency order, restoration steps, rollback criteria and responsible operators. Unknown remains unresolved and should name the responsible maintainer. Avoid credentials and actual customer data.</w:t>
      </w:r>
    </w:p>
    <w:p>
      <w:r>
        <w:t>Record each recovery test with its date, isolated environment, operator, backup identity or hash, measured recovery time and recovered point, acceptance checks, failures, corrective action, reviewer and evidence. These are attributed claims. Use Knowledge links to attach captured backup or restore routines with entity and depends_on, or exact operating procedure and recovery-test evidence revisions with section and cites. Return to Knowledge and Save. A name in prose alone does not create an implementation link.</w:t>
      </w:r>
    </w:p>
    <w:p>
      <w:r>
        <w:t>Save creates a needs_review revision. Review separately against evidence using a named reviewer. Open plan returns to its saved Knowledge record for editing and history; Implementation links opens the exact links. Filters search plan text and review state. First page and Next page navigate more than 250 plans. Scroll the command bar horizontally in narrow windows and the labeled evidence memo vertically. Save or discard an existing draft before starting or opening another plan.</w:t>
      </w:r>
    </w:p>
    <w:p>
      <w:r>
        <w:t>DPH never runs a target backup or restoration or proves that a recovery test succeeded. Publishing with the maintenance or all audience includes the attributed plan subject to exclusions and redaction. Explicit run, practice and test instructions are in docs/guides/Target_Recovery_Run_and_Test.txt.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ExÃ©cuter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317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da373dcd243a8eebe8d12c50575abb45cf72144360b3679451e0a8f877480915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3b861f396f8335c5a2fded6e1c15886ea6df4e59bcfc7aba34430e169a77993b</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0071616ba56c64eb56e19f04a535cd0cb70d4e5e4b87ce2a9885b91ffde3dd3c</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d6ac3ffff0c50dbcbb98f0813db1ea47769f0fa8e1f2e9418381c6735cc09953</w:t>
      </w:r>
    </w:p>
    <w:p>
      <w:pPr>
        <w:keepNext/>
        <w:spacing w:after="0"/>
      </w:pPr>
      <w:r>
        <w:rPr>
          <w:sz w:val="18"/>
        </w:rPr>
        <w:t>DPH.UI.Main.fmx</w:t>
      </w:r>
    </w:p>
    <w:p>
      <w:pPr>
        <w:spacing w:after="20"/>
      </w:pPr>
      <w:r>
        <w:rPr>
          <w:rFonts w:ascii="Consolas" w:hAnsi="Consolas"/>
          <w:sz w:val="16"/>
        </w:rPr>
        <w:t>a3d40acc4c45734b68a66d0bc255f66a93298ba1843b8aa98eaa1bda4f2ef78e</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