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46</w:t>
      </w:r>
    </w:p>
    <w:p>
      <w:r>
        <w:t>Last changed 15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12</w:t>
      </w:r>
    </w:p>
    <w:p>
      <w:pPr>
        <w:pStyle w:val="TOC2"/>
        <w:tabs>
          <w:tab w:val="right" w:leader="dot" w:pos="9360"/>
        </w:tabs>
      </w:pPr>
      <w:r>
        <w:t>11. Symbols, resolution, control flow, and focused analyses</w:t>
      </w:r>
      <w:r>
        <w:tab/>
        <w:t>13</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23</w:t>
      </w:r>
    </w:p>
    <w:p>
      <w:pPr>
        <w:pStyle w:val="TOC1"/>
        <w:tabs>
          <w:tab w:val="right" w:leader="dot" w:pos="9360"/>
        </w:tabs>
      </w:pPr>
      <w:r>
        <w:t>PART 5: Building, testing, diagnosis, and release</w:t>
      </w:r>
      <w:r>
        <w:tab/>
        <w:t>24</w:t>
      </w:r>
    </w:p>
    <w:p>
      <w:pPr>
        <w:pStyle w:val="TOC2"/>
        <w:tabs>
          <w:tab w:val="right" w:leader="dot" w:pos="9360"/>
        </w:tabs>
      </w:pPr>
      <w:r>
        <w:t>20. Build environment and source layout</w:t>
      </w:r>
      <w:r>
        <w:tab/>
        <w:t>24</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28</w:t>
      </w:r>
    </w:p>
    <w:p>
      <w:pPr>
        <w:pStyle w:val="TOC2"/>
        <w:tabs>
          <w:tab w:val="right" w:leader="dot" w:pos="9360"/>
        </w:tabs>
      </w:pPr>
      <w:r>
        <w:t>24. Maintain documentation as an engineering artifact</w:t>
      </w:r>
      <w:r>
        <w:tab/>
        <w:t>29</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49</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help a beginner understand one unfamiliar Delphi application. It reads project, source and form material; persists captured facts and attributed knowledge; presents understandable learning routes;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learner workflow has six tabs: Getting started, Learn the project, Learning library, Project map, Screenshots, and Application diagrams. Open application starts a source capture; Open saved project restores a .dphdb and its adjacent .views folder.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disables redirects, and writes responses through a 128 KiB bounded stream. The DNS answer can change between validation and connection, so the optional setting is not a complete network isolation guarantee.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learner route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It should not perform every expensive optional report merely because the form has serialized tabs for them. Build deeper projections on demand for their active destination.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native preview opens learning.html, the same learner route recipients should begin with. A consistent technical index does not establish human instructional quality. Test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Beginner explanation model</w:t>
      </w:r>
    </w:p>
    <w:p>
      <w:r>
        <w:t>TDPHExplanationModel.ApplicationRouteHTML generates four primary pages for the selected application: Meet this app, Learn a real task, Explore related tasks and Resolve unknowns. It combines source-derived forms and action links with that application's attributed profile, structured tasks, teaching cards and open author questions. Its task order uses saved learning order, then path and title. Absent instructions remain explicit gaps; an event binding alone is never presented as a verified task. The older generic LessonHTML topics remain supporting code, not the main learner route.</w:t>
      </w:r>
    </w:p>
    <w:p>
      <w:r>
        <w:t>ObjectLessonHTML introduces role and relevant purpose, actual conditions and bounded next connections, then keeps the deeper code walkthrough optional. ObjectText provides a native text route from the same explanatory model. The renderer must not turn an unlinked application-wide note into every object's purpose. It must exclude rejected or retired content and preserve unresolved questions. The native list of four routes is serialized in DPH.UI.Main.fmx so ordinary labels remain IDE-editable.</w:t>
      </w:r>
    </w:p>
    <w:p>
      <w:pPr>
        <w:pStyle w:val="Heading3"/>
      </w:pPr>
      <w:r>
        <w:t>17.3. Lazy optional reports</w:t>
      </w:r>
    </w:p>
    <w:p>
      <w:r>
        <w:t>WorkspacePageChange chooses the active projection. Report generation for hidden specialist tabs should not delay opening the ordinary learner route. Refresh routines must distinguish loading the base view from building graphs,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learning.html presents the selected application's four-part learner route, authored tasks, examples, questions, terms and supplied images. The generated User Guide follows those same four parts. Hash-named object pages provide linked explanations with optional source detail. index.html and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experimental desktop package contains the Win32 and Win64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semantic Version value.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Learn the project names it and the other five tabs open the corresponding findings.</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25.11.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25.12.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25.13.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25.14.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25.15.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25.16.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25.17.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25.18.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25.19.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25.20.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25.21.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25.22.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25.23.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25.24.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25.25.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25.26.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25.27.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25.28.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25.29.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25.30.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25.31.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25.32.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25.33.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w:t>
      </w:r>
    </w:p>
    <w:p>
      <w:pPr>
        <w:spacing w:after="40" w:line="247" w:lineRule="auto"/>
      </w:pPr>
      <w:r>
        <w:rPr>
          <w:rFonts w:ascii="Consolas" w:hAnsi="Consolas"/>
          <w:sz w:val="18"/>
        </w:rPr>
        <w:t>procedure LoadView(ADocument: TJSONObject; AScreenshots: TJSONArray = nil);</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25.37.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25.38.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25.39.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25.40.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25.41.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25.42.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25.43.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25.44.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25.45.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25.46.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25.47.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25.48.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25.49.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25.50.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25.51.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25.52.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25.53.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46  |  15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