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Architecture and boundaries</w:t>
      </w:r>
      <w:r>
        <w:rPr>
          <w:sz w:val="22"/>
        </w:rPr>
        <w:tab/>
        <w:t>4</w:t>
      </w:r>
    </w:p>
    <w:p>
      <w:pPr>
        <w:spacing w:after="0" w:line="240" w:lineRule="auto"/>
        <w:tabs>
          <w:tab w:val="right" w:leader="dot" w:pos="9360"/>
        </w:tabs>
      </w:pPr>
      <w:r>
        <w:rPr>
          <w:sz w:val="22"/>
        </w:rPr>
        <w:t>Rework and acceptance status</w:t>
      </w:r>
      <w:r>
        <w:rPr>
          <w:sz w:val="22"/>
        </w:rPr>
        <w:tab/>
        <w:t>4</w:t>
      </w:r>
    </w:p>
    <w:p>
      <w:pPr>
        <w:spacing w:after="0" w:line="240" w:lineRule="auto"/>
        <w:tabs>
          <w:tab w:val="right" w:leader="dot" w:pos="9360"/>
        </w:tabs>
      </w:pPr>
      <w:r>
        <w:rPr>
          <w:sz w:val="22"/>
        </w:rPr>
        <w:t>Build and deployment</w:t>
      </w:r>
      <w:r>
        <w:rPr>
          <w:sz w:val="22"/>
        </w:rPr>
        <w:tab/>
        <w:t>4</w:t>
      </w:r>
    </w:p>
    <w:p>
      <w:pPr>
        <w:spacing w:after="0" w:line="240" w:lineRule="auto"/>
        <w:tabs>
          <w:tab w:val="right" w:leader="dot" w:pos="9360"/>
        </w:tabs>
      </w:pPr>
      <w:r>
        <w:rPr>
          <w:sz w:val="22"/>
        </w:rPr>
        <w:t>Input acquisition and project scope</w:t>
      </w:r>
      <w:r>
        <w:rPr>
          <w:sz w:val="22"/>
        </w:rPr>
        <w:tab/>
        <w:t>5</w:t>
      </w:r>
    </w:p>
    <w:p>
      <w:pPr>
        <w:spacing w:after="0" w:line="240" w:lineRule="auto"/>
        <w:tabs>
          <w:tab w:val="right" w:leader="dot" w:pos="9360"/>
        </w:tabs>
      </w:pPr>
      <w:r>
        <w:rPr>
          <w:sz w:val="22"/>
        </w:rPr>
        <w:t>Syntax contracts and limits</w:t>
      </w:r>
      <w:r>
        <w:rPr>
          <w:sz w:val="22"/>
        </w:rPr>
        <w:tab/>
        <w:t>5</w:t>
      </w:r>
    </w:p>
    <w:p>
      <w:pPr>
        <w:spacing w:after="0" w:line="240" w:lineRule="auto"/>
        <w:tabs>
          <w:tab w:val="right" w:leader="dot" w:pos="9360"/>
        </w:tabs>
      </w:pPr>
      <w:r>
        <w:rPr>
          <w:sz w:val="22"/>
        </w:rPr>
        <w:t>Symbols and typed relationships</w:t>
      </w:r>
      <w:r>
        <w:rPr>
          <w:sz w:val="22"/>
        </w:rPr>
        <w:tab/>
        <w:t>5</w:t>
      </w:r>
    </w:p>
    <w:p>
      <w:pPr>
        <w:spacing w:after="0" w:line="240" w:lineRule="auto"/>
        <w:tabs>
          <w:tab w:val="right" w:leader="dot" w:pos="9360"/>
        </w:tabs>
      </w:pPr>
      <w:r>
        <w:rPr>
          <w:sz w:val="22"/>
        </w:rPr>
        <w:t>Control flow and impact</w:t>
      </w:r>
      <w:r>
        <w:rPr>
          <w:sz w:val="22"/>
        </w:rPr>
        <w:tab/>
        <w:t>6</w:t>
      </w:r>
    </w:p>
    <w:p>
      <w:pPr>
        <w:spacing w:after="0" w:line="240" w:lineRule="auto"/>
        <w:tabs>
          <w:tab w:val="right" w:leader="dot" w:pos="9360"/>
        </w:tabs>
      </w:pPr>
      <w:r>
        <w:rPr>
          <w:sz w:val="22"/>
        </w:rPr>
        <w:t>SQLite generations and durability</w:t>
      </w:r>
      <w:r>
        <w:rPr>
          <w:sz w:val="22"/>
        </w:rPr>
        <w:tab/>
        <w:t>6</w:t>
      </w:r>
    </w:p>
    <w:p>
      <w:pPr>
        <w:spacing w:after="0" w:line="240" w:lineRule="auto"/>
        <w:tabs>
          <w:tab w:val="right" w:leader="dot" w:pos="9360"/>
        </w:tabs>
      </w:pPr>
      <w:r>
        <w:rPr>
          <w:sz w:val="22"/>
        </w:rPr>
        <w:t>Evidence and immutable history</w:t>
      </w:r>
      <w:r>
        <w:rPr>
          <w:sz w:val="22"/>
        </w:rPr>
        <w:tab/>
        <w:t>6</w:t>
      </w:r>
    </w:p>
    <w:p>
      <w:pPr>
        <w:spacing w:after="0" w:line="240" w:lineRule="auto"/>
        <w:tabs>
          <w:tab w:val="right" w:leader="dot" w:pos="9360"/>
        </w:tabs>
      </w:pPr>
      <w:r>
        <w:rPr>
          <w:sz w:val="22"/>
        </w:rPr>
        <w:t>Background coordination and cached views</w:t>
      </w:r>
      <w:r>
        <w:rPr>
          <w:sz w:val="22"/>
        </w:rPr>
        <w:tab/>
        <w:t>7</w:t>
      </w:r>
    </w:p>
    <w:p>
      <w:pPr>
        <w:spacing w:after="0" w:line="240" w:lineRule="auto"/>
        <w:tabs>
          <w:tab w:val="right" w:leader="dot" w:pos="9360"/>
        </w:tabs>
      </w:pPr>
      <w:r>
        <w:rPr>
          <w:sz w:val="22"/>
        </w:rPr>
        <w:t>FMX navigation and visualization</w:t>
      </w:r>
      <w:r>
        <w:rPr>
          <w:sz w:val="22"/>
        </w:rPr>
        <w:tab/>
        <w:t>7</w:t>
      </w:r>
    </w:p>
    <w:p>
      <w:pPr>
        <w:spacing w:after="0" w:line="240" w:lineRule="auto"/>
        <w:tabs>
          <w:tab w:val="right" w:leader="dot" w:pos="9360"/>
        </w:tabs>
      </w:pPr>
      <w:r>
        <w:rPr>
          <w:sz w:val="22"/>
        </w:rPr>
        <w:t>Curated knowledge and review</w:t>
      </w:r>
      <w:r>
        <w:rPr>
          <w:sz w:val="22"/>
        </w:rPr>
        <w:tab/>
        <w:t>7</w:t>
      </w:r>
    </w:p>
    <w:p>
      <w:pPr>
        <w:spacing w:after="0" w:line="240" w:lineRule="auto"/>
        <w:tabs>
          <w:tab w:val="right" w:leader="dot" w:pos="9360"/>
        </w:tabs>
      </w:pPr>
      <w:r>
        <w:rPr>
          <w:sz w:val="22"/>
        </w:rPr>
        <w:t>Canonical publication and privacy</w:t>
      </w:r>
      <w:r>
        <w:rPr>
          <w:sz w:val="22"/>
        </w:rPr>
        <w:tab/>
        <w:t>8</w:t>
      </w:r>
    </w:p>
    <w:p>
      <w:pPr>
        <w:spacing w:after="0" w:line="240" w:lineRule="auto"/>
        <w:tabs>
          <w:tab w:val="right" w:leader="dot" w:pos="9360"/>
        </w:tabs>
      </w:pPr>
      <w:r>
        <w:rPr>
          <w:sz w:val="22"/>
        </w:rPr>
        <w:t>HTML guides and bundle validation</w:t>
      </w:r>
      <w:r>
        <w:rPr>
          <w:sz w:val="22"/>
        </w:rPr>
        <w:tab/>
        <w:t>8</w:t>
      </w:r>
    </w:p>
    <w:p>
      <w:pPr>
        <w:spacing w:after="0" w:line="240" w:lineRule="auto"/>
        <w:tabs>
          <w:tab w:val="right" w:leader="dot" w:pos="9360"/>
        </w:tabs>
      </w:pPr>
      <w:r>
        <w:rPr>
          <w:sz w:val="22"/>
        </w:rPr>
        <w:t>Translation boundary</w:t>
      </w:r>
      <w:r>
        <w:rPr>
          <w:sz w:val="22"/>
        </w:rPr>
        <w:tab/>
        <w:t>9</w:t>
      </w:r>
    </w:p>
    <w:p>
      <w:pPr>
        <w:spacing w:after="0" w:line="240" w:lineRule="auto"/>
        <w:tabs>
          <w:tab w:val="right" w:leader="dot" w:pos="9360"/>
        </w:tabs>
      </w:pPr>
      <w:r>
        <w:rPr>
          <w:sz w:val="22"/>
        </w:rPr>
        <w:t>Verification and release discipline</w:t>
      </w:r>
      <w:r>
        <w:rPr>
          <w:sz w:val="22"/>
        </w:rPr>
        <w:tab/>
        <w:t>9</w:t>
      </w:r>
    </w:p>
    <w:p>
      <w:pPr>
        <w:spacing w:after="0" w:line="240" w:lineRule="auto"/>
        <w:tabs>
          <w:tab w:val="right" w:leader="dot" w:pos="9360"/>
        </w:tabs>
      </w:pPr>
      <w:r>
        <w:rPr>
          <w:sz w:val="22"/>
        </w:rPr>
        <w:t>Current semantic cache and extended evidence</w:t>
      </w:r>
      <w:r>
        <w:rPr>
          <w:sz w:val="22"/>
        </w:rPr>
        <w:tab/>
        <w:t>9</w:t>
      </w:r>
    </w:p>
    <w:p>
      <w:pPr>
        <w:spacing w:after="0" w:line="240" w:lineRule="auto"/>
        <w:tabs>
          <w:tab w:val="right" w:leader="dot" w:pos="9360"/>
        </w:tabs>
      </w:pPr>
      <w:r>
        <w:rPr>
          <w:sz w:val="22"/>
        </w:rPr>
        <w:t>Current schema and authored document contracts</w:t>
      </w:r>
      <w:r>
        <w:rPr>
          <w:sz w:val="22"/>
        </w:rPr>
        <w:tab/>
        <w:t>10</w:t>
      </w:r>
    </w:p>
    <w:p>
      <w:pPr>
        <w:spacing w:after="0" w:line="240" w:lineRule="auto"/>
        <w:tabs>
          <w:tab w:val="right" w:leader="dot" w:pos="9360"/>
        </w:tabs>
      </w:pPr>
      <w:r>
        <w:rPr>
          <w:sz w:val="22"/>
        </w:rPr>
        <w:t>Native review and learning projections</w:t>
      </w:r>
      <w:r>
        <w:rPr>
          <w:sz w:val="22"/>
        </w:rPr>
        <w:tab/>
        <w:t>10</w:t>
      </w:r>
    </w:p>
    <w:p>
      <w:pPr>
        <w:spacing w:after="0" w:line="240" w:lineRule="auto"/>
        <w:tabs>
          <w:tab w:val="right" w:leader="dot" w:pos="9360"/>
        </w:tabs>
      </w:pPr>
      <w:r>
        <w:rPr>
          <w:sz w:val="22"/>
        </w:rPr>
        <w:t>Saved observation persistence</w:t>
      </w:r>
      <w:r>
        <w:rPr>
          <w:sz w:val="22"/>
        </w:rPr>
        <w:tab/>
        <w:t>10</w:t>
      </w:r>
    </w:p>
    <w:p>
      <w:pPr>
        <w:spacing w:after="0" w:line="240" w:lineRule="auto"/>
        <w:tabs>
          <w:tab w:val="right" w:leader="dot" w:pos="9360"/>
        </w:tabs>
      </w:pPr>
      <w:r>
        <w:rPr>
          <w:sz w:val="22"/>
        </w:rPr>
        <w:t>Regression commands and evidence</w:t>
      </w:r>
      <w:r>
        <w:rPr>
          <w:sz w:val="22"/>
        </w:rPr>
        <w:tab/>
        <w:t>11</w:t>
      </w:r>
    </w:p>
    <w:p>
      <w:pPr>
        <w:spacing w:after="0" w:line="240" w:lineRule="auto"/>
        <w:tabs>
          <w:tab w:val="right" w:leader="dot" w:pos="9360"/>
        </w:tabs>
      </w:pPr>
      <w:r>
        <w:rPr>
          <w:sz w:val="22"/>
        </w:rPr>
        <w:t>Rebuild and inspect these manuals</w:t>
      </w:r>
      <w:r>
        <w:rPr>
          <w:sz w:val="22"/>
        </w:rPr>
        <w:tab/>
        <w:t>11</w:t>
      </w:r>
    </w:p>
    <w:p>
      <w:pPr>
        <w:spacing w:after="0" w:line="240" w:lineRule="auto"/>
        <w:tabs>
          <w:tab w:val="right" w:leader="dot" w:pos="9360"/>
        </w:tabs>
      </w:pPr>
      <w:r>
        <w:rPr>
          <w:sz w:val="22"/>
        </w:rPr>
        <w:t>Business glossary implementation and checks</w:t>
      </w:r>
      <w:r>
        <w:rPr>
          <w:sz w:val="22"/>
        </w:rPr>
        <w:tab/>
        <w:t>12</w:t>
      </w:r>
    </w:p>
    <w:p>
      <w:pPr>
        <w:spacing w:after="0" w:line="240" w:lineRule="auto"/>
        <w:tabs>
          <w:tab w:val="right" w:leader="dot" w:pos="9360"/>
        </w:tabs>
      </w:pPr>
      <w:r>
        <w:rPr>
          <w:sz w:val="22"/>
        </w:rPr>
        <w:t>Offline translation and localized publication</w:t>
      </w:r>
      <w:r>
        <w:rPr>
          <w:sz w:val="22"/>
        </w:rPr>
        <w:tab/>
        <w:t>12</w:t>
      </w:r>
    </w:p>
    <w:p>
      <w:pPr>
        <w:spacing w:after="0" w:line="240" w:lineRule="auto"/>
        <w:tabs>
          <w:tab w:val="right" w:leader="dot" w:pos="9360"/>
        </w:tabs>
      </w:pPr>
      <w:r>
        <w:rPr>
          <w:sz w:val="22"/>
        </w:rPr>
        <w:t>Native validation and release evidence</w:t>
      </w:r>
      <w:r>
        <w:rPr>
          <w:sz w:val="22"/>
        </w:rPr>
        <w:tab/>
        <w:t>13</w:t>
      </w:r>
    </w:p>
    <w:p>
      <w:pPr>
        <w:spacing w:after="0" w:line="240" w:lineRule="auto"/>
        <w:tabs>
          <w:tab w:val="right" w:leader="dot" w:pos="9360"/>
        </w:tabs>
      </w:pPr>
      <w:r>
        <w:rPr>
          <w:sz w:val="22"/>
        </w:rPr>
        <w:t>Structured project profile contract</w:t>
      </w:r>
      <w:r>
        <w:rPr>
          <w:sz w:val="22"/>
        </w:rPr>
        <w:tab/>
        <w:t>13</w:t>
      </w:r>
    </w:p>
    <w:p>
      <w:pPr>
        <w:spacing w:after="0" w:line="240" w:lineRule="auto"/>
        <w:tabs>
          <w:tab w:val="right" w:leader="dot" w:pos="9360"/>
        </w:tabs>
      </w:pPr>
      <w:r>
        <w:rPr>
          <w:sz w:val="22"/>
        </w:rPr>
        <w:t>Quality analysis and revision comparison</w:t>
      </w:r>
      <w:r>
        <w:rPr>
          <w:sz w:val="22"/>
        </w:rPr>
        <w:tab/>
        <w:t>14</w:t>
      </w:r>
    </w:p>
    <w:p>
      <w:pPr>
        <w:spacing w:after="0" w:line="240" w:lineRule="auto"/>
        <w:tabs>
          <w:tab w:val="right" w:leader="dot" w:pos="9360"/>
        </w:tabs>
      </w:pPr>
      <w:r>
        <w:rPr>
          <w:sz w:val="22"/>
        </w:rPr>
        <w:t>Keyboard inspector implementation and validation</w:t>
      </w:r>
      <w:r>
        <w:rPr>
          <w:sz w:val="22"/>
        </w:rPr>
        <w:tab/>
        <w:t>14</w:t>
      </w:r>
    </w:p>
    <w:p>
      <w:pPr>
        <w:pageBreakBefore/>
        <w:spacing w:after="0" w:line="240" w:lineRule="auto"/>
        <w:tabs>
          <w:tab w:val="right" w:leader="dot" w:pos="9360"/>
        </w:tabs>
      </w:pPr>
      <w:r>
        <w:rPr>
          <w:sz w:val="22"/>
        </w:rPr>
        <w:t>Command inventory implementation and validation</w:t>
      </w:r>
      <w:r>
        <w:rPr>
          <w:sz w:val="22"/>
        </w:rPr>
        <w:tab/>
        <w:t>15</w:t>
      </w:r>
    </w:p>
    <w:p>
      <w:pPr>
        <w:spacing w:after="0" w:line="240" w:lineRule="auto"/>
        <w:tabs>
          <w:tab w:val="right" w:leader="dot" w:pos="9360"/>
        </w:tabs>
      </w:pPr>
      <w:r>
        <w:rPr>
          <w:sz w:val="22"/>
        </w:rPr>
        <w:t>Dynamic control relationships and validation</w:t>
      </w:r>
      <w:r>
        <w:rPr>
          <w:sz w:val="22"/>
        </w:rPr>
        <w:tab/>
        <w:t>15</w:t>
      </w:r>
    </w:p>
    <w:p>
      <w:pPr>
        <w:spacing w:after="0" w:line="240" w:lineRule="auto"/>
        <w:tabs>
          <w:tab w:val="right" w:leader="dot" w:pos="9360"/>
        </w:tabs>
      </w:pPr>
      <w:r>
        <w:rPr>
          <w:sz w:val="22"/>
        </w:rPr>
        <w:t>Layout rule explanations and validation</w:t>
      </w:r>
      <w:r>
        <w:rPr>
          <w:sz w:val="22"/>
        </w:rPr>
        <w:tab/>
        <w:t>15</w:t>
      </w:r>
    </w:p>
    <w:p>
      <w:pPr>
        <w:spacing w:after="0" w:line="240" w:lineRule="auto"/>
        <w:tabs>
          <w:tab w:val="right" w:leader="dot" w:pos="9360"/>
        </w:tabs>
      </w:pPr>
      <w:r>
        <w:rPr>
          <w:sz w:val="22"/>
        </w:rPr>
        <w:t>Component dependencies and attributed metadata</w:t>
      </w:r>
      <w:r>
        <w:rPr>
          <w:sz w:val="22"/>
        </w:rPr>
        <w:tab/>
        <w:t>16</w:t>
      </w:r>
    </w:p>
    <w:p>
      <w:pPr>
        <w:spacing w:after="0" w:line="240" w:lineRule="auto"/>
        <w:tabs>
          <w:tab w:val="right" w:leader="dot" w:pos="9360"/>
        </w:tabs>
      </w:pPr>
      <w:r>
        <w:rPr>
          <w:sz w:val="22"/>
        </w:rPr>
        <w:t>Resolve form inheritance and frame overlays</w:t>
      </w:r>
      <w:r>
        <w:rPr>
          <w:sz w:val="22"/>
        </w:rPr>
        <w:tab/>
        <w:t>17</w:t>
      </w:r>
    </w:p>
    <w:p>
      <w:pPr>
        <w:spacing w:after="0" w:line="240" w:lineRule="auto"/>
        <w:tabs>
          <w:tab w:val="right" w:leader="dot" w:pos="9360"/>
        </w:tabs>
      </w:pPr>
      <w:r>
        <w:rPr>
          <w:sz w:val="22"/>
        </w:rPr>
        <w:t>Store attributed action purpose mappings</w:t>
      </w:r>
      <w:r>
        <w:rPr>
          <w:sz w:val="22"/>
        </w:rPr>
        <w:tab/>
        <w:t>17</w:t>
      </w:r>
    </w:p>
    <w:p>
      <w:pPr>
        <w:spacing w:after="0" w:line="240" w:lineRule="auto"/>
        <w:tabs>
          <w:tab w:val="right" w:leader="dot" w:pos="9360"/>
        </w:tabs>
      </w:pPr>
      <w:r>
        <w:rPr>
          <w:sz w:val="22"/>
        </w:rPr>
        <w:t>Compare attributed screen evidence and captured layouts</w:t>
      </w:r>
      <w:r>
        <w:rPr>
          <w:sz w:val="22"/>
        </w:rPr>
        <w:tab/>
        <w:t>18</w:t>
      </w:r>
    </w:p>
    <w:p>
      <w:pPr>
        <w:spacing w:after="0" w:line="240" w:lineRule="auto"/>
        <w:tabs>
          <w:tab w:val="right" w:leader="dot" w:pos="9360"/>
        </w:tabs>
      </w:pPr>
      <w:r>
        <w:rPr>
          <w:sz w:val="22"/>
        </w:rPr>
        <w:t>Build a safe captured database connection inventory</w:t>
      </w:r>
      <w:r>
        <w:rPr>
          <w:sz w:val="22"/>
        </w:rPr>
        <w:tab/>
        <w:t>18</w:t>
      </w:r>
    </w:p>
    <w:p>
      <w:pPr>
        <w:spacing w:after="0" w:line="240" w:lineRule="auto"/>
        <w:tabs>
          <w:tab w:val="right" w:leader="dot" w:pos="9360"/>
        </w:tabs>
      </w:pPr>
      <w:r>
        <w:rPr>
          <w:sz w:val="22"/>
        </w:rPr>
        <w:t>Derive captured database engine and version evidence</w:t>
      </w:r>
      <w:r>
        <w:rPr>
          <w:sz w:val="22"/>
        </w:rPr>
        <w:tab/>
        <w:t>19</w:t>
      </w:r>
    </w:p>
    <w:p>
      <w:pPr>
        <w:spacing w:after="0" w:line="240" w:lineRule="auto"/>
        <w:tabs>
          <w:tab w:val="right" w:leader="dot" w:pos="9360"/>
        </w:tabs>
      </w:pPr>
      <w:r>
        <w:rPr>
          <w:sz w:val="22"/>
        </w:rPr>
        <w:t>Inspect captured database schema evidence</w:t>
      </w:r>
      <w:r>
        <w:rPr>
          <w:sz w:val="22"/>
        </w:rPr>
        <w:tab/>
        <w:t>20</w:t>
      </w:r>
    </w:p>
    <w:p>
      <w:pPr>
        <w:spacing w:after="0" w:line="240" w:lineRule="auto"/>
        <w:tabs>
          <w:tab w:val="right" w:leader="dot" w:pos="9360"/>
        </w:tabs>
      </w:pPr>
      <w:r>
        <w:rPr>
          <w:sz w:val="22"/>
        </w:rPr>
        <w:t>Extract captured column declarations and constraint text</w:t>
      </w:r>
      <w:r>
        <w:rPr>
          <w:sz w:val="22"/>
        </w:rPr>
        <w:tab/>
        <w:t>20</w:t>
      </w:r>
    </w:p>
    <w:p>
      <w:pPr>
        <w:spacing w:after="0" w:line="240" w:lineRule="auto"/>
        <w:tabs>
          <w:tab w:val="right" w:leader="dot" w:pos="9360"/>
        </w:tabs>
      </w:pPr>
      <w:r>
        <w:rPr>
          <w:sz w:val="22"/>
        </w:rPr>
        <w:t>Resolve captured key membership and references</w:t>
      </w:r>
      <w:r>
        <w:rPr>
          <w:sz w:val="22"/>
        </w:rPr>
        <w:tab/>
        <w:t>21</w:t>
      </w:r>
    </w:p>
    <w:p>
      <w:pPr>
        <w:spacing w:after="0" w:line="240" w:lineRule="auto"/>
        <w:tabs>
          <w:tab w:val="right" w:leader="dot" w:pos="9360"/>
        </w:tabs>
      </w:pPr>
      <w:r>
        <w:rPr>
          <w:sz w:val="22"/>
        </w:rPr>
        <w:t>Capture index structures and SQL reference evidence</w:t>
      </w:r>
      <w:r>
        <w:rPr>
          <w:sz w:val="22"/>
        </w:rPr>
        <w:tab/>
        <w:t>22</w:t>
      </w:r>
    </w:p>
    <w:p>
      <w:pPr>
        <w:spacing w:after="0" w:line="240" w:lineRule="auto"/>
        <w:tabs>
          <w:tab w:val="right" w:leader="dot" w:pos="9360"/>
        </w:tabs>
      </w:pPr>
      <w:r>
        <w:rPr>
          <w:sz w:val="22"/>
        </w:rPr>
        <w:t>Capture stored-object definitions and dependencies</w:t>
      </w:r>
      <w:r>
        <w:rPr>
          <w:sz w:val="22"/>
        </w:rPr>
        <w:tab/>
        <w:t>23</w:t>
      </w:r>
    </w:p>
    <w:p>
      <w:pPr>
        <w:spacing w:after="0" w:line="240" w:lineRule="auto"/>
        <w:tabs>
          <w:tab w:val="right" w:leader="dot" w:pos="9360"/>
        </w:tabs>
      </w:pPr>
      <w:r>
        <w:rPr>
          <w:sz w:val="22"/>
        </w:rPr>
        <w:t>Project captured entity relationship metadata</w:t>
      </w:r>
      <w:r>
        <w:rPr>
          <w:sz w:val="22"/>
        </w:rPr>
        <w:tab/>
        <w:t>24</w:t>
      </w:r>
    </w:p>
    <w:p>
      <w:pPr>
        <w:spacing w:after="0" w:line="240" w:lineRule="auto"/>
        <w:tabs>
          <w:tab w:val="right" w:leader="dot" w:pos="9360"/>
        </w:tabs>
      </w:pPr>
      <w:r>
        <w:rPr>
          <w:sz w:val="22"/>
        </w:rPr>
        <w:t>Maintain attributed schema dictionaries</w:t>
      </w:r>
      <w:r>
        <w:rPr>
          <w:sz w:val="22"/>
        </w:rPr>
        <w:tab/>
        <w:t>25</w:t>
      </w:r>
    </w:p>
    <w:p>
      <w:pPr>
        <w:spacing w:after="0" w:line="240" w:lineRule="auto"/>
        <w:tabs>
          <w:tab w:val="right" w:leader="dot" w:pos="9360"/>
        </w:tabs>
      </w:pPr>
      <w:r>
        <w:rPr>
          <w:sz w:val="22"/>
        </w:rPr>
        <w:t>Resolve captured dataset and field bindings</w:t>
      </w:r>
      <w:r>
        <w:rPr>
          <w:sz w:val="22"/>
        </w:rPr>
        <w:tab/>
        <w:t>26</w:t>
      </w:r>
    </w:p>
    <w:p>
      <w:pPr>
        <w:spacing w:after="0" w:line="240" w:lineRule="auto"/>
        <w:tabs>
          <w:tab w:val="right" w:leader="dot" w:pos="9360"/>
        </w:tabs>
      </w:pPr>
      <w:r>
        <w:rPr>
          <w:sz w:val="22"/>
        </w:rPr>
        <w:t>Recognize captured database operation requests</w:t>
      </w:r>
      <w:r>
        <w:rPr>
          <w:sz w:val="22"/>
        </w:rPr>
        <w:tab/>
        <w:t>27</w:t>
      </w:r>
    </w:p>
    <w:p>
      <w:pPr>
        <w:spacing w:after="0" w:line="240" w:lineRule="auto"/>
        <w:tabs>
          <w:tab w:val="right" w:leader="dot" w:pos="9360"/>
        </w:tabs>
      </w:pPr>
      <w:r>
        <w:rPr>
          <w:sz w:val="22"/>
        </w:rPr>
        <w:t>Trace captured transaction boundaries</w:t>
      </w:r>
      <w:r>
        <w:rPr>
          <w:sz w:val="22"/>
        </w:rPr>
        <w:tab/>
        <w:t>27</w:t>
      </w:r>
    </w:p>
    <w:p>
      <w:pPr>
        <w:spacing w:after="0" w:line="240" w:lineRule="auto"/>
        <w:tabs>
          <w:tab w:val="right" w:leader="dot" w:pos="9360"/>
        </w:tabs>
      </w:pPr>
      <w:r>
        <w:rPr>
          <w:sz w:val="22"/>
        </w:rPr>
        <w:t>Capture field validation and transformation evidence</w:t>
      </w:r>
      <w:r>
        <w:rPr>
          <w:sz w:val="22"/>
        </w:rPr>
        <w:tab/>
        <w:t>28</w:t>
      </w:r>
    </w:p>
    <w:p>
      <w:pPr>
        <w:spacing w:after="0" w:line="240" w:lineRule="auto"/>
        <w:tabs>
          <w:tab w:val="right" w:leader="dot" w:pos="9360"/>
        </w:tabs>
      </w:pPr>
      <w:r>
        <w:rPr>
          <w:sz w:val="22"/>
        </w:rPr>
        <w:t>Connect source evidence into scoped lineage</w:t>
      </w:r>
      <w:r>
        <w:rPr>
          <w:sz w:val="22"/>
        </w:rPr>
        <w:tab/>
        <w:t>28</w:t>
      </w:r>
    </w:p>
    <w:p>
      <w:pPr>
        <w:spacing w:after="0" w:line="240" w:lineRule="auto"/>
        <w:tabs>
          <w:tab w:val="right" w:leader="dot" w:pos="9360"/>
        </w:tabs>
      </w:pPr>
      <w:r>
        <w:rPr>
          <w:sz w:val="22"/>
        </w:rPr>
        <w:t>Project captured migration and version evidence</w:t>
      </w:r>
      <w:r>
        <w:rPr>
          <w:sz w:val="22"/>
        </w:rPr>
        <w:tab/>
        <w:t>29</w:t>
      </w:r>
    </w:p>
    <w:p>
      <w:pPr>
        <w:spacing w:after="0" w:line="240" w:lineRule="auto"/>
        <w:tabs>
          <w:tab w:val="right" w:leader="dot" w:pos="9360"/>
        </w:tabs>
      </w:pPr>
      <w:r>
        <w:rPr>
          <w:sz w:val="22"/>
        </w:rPr>
        <w:t>Project captured file formats and contracts</w:t>
      </w:r>
      <w:r>
        <w:rPr>
          <w:sz w:val="22"/>
        </w:rPr>
        <w:tab/>
        <w:t>30</w:t>
      </w:r>
    </w:p>
    <w:p>
      <w:pPr>
        <w:spacing w:after="0" w:line="240" w:lineRule="auto"/>
        <w:tabs>
          <w:tab w:val="right" w:leader="dot" w:pos="9360"/>
        </w:tabs>
      </w:pPr>
      <w:r>
        <w:rPr>
          <w:sz w:val="22"/>
        </w:rPr>
        <w:t>Maintain attributed target retention requirements</w:t>
      </w:r>
      <w:r>
        <w:rPr>
          <w:sz w:val="22"/>
        </w:rPr>
        <w:tab/>
        <w:t>30</w:t>
      </w:r>
    </w:p>
    <w:p>
      <w:pPr>
        <w:spacing w:after="0" w:line="240" w:lineRule="auto"/>
        <w:tabs>
          <w:tab w:val="right" w:leader="dot" w:pos="9360"/>
        </w:tabs>
      </w:pPr>
      <w:r>
        <w:rPr>
          <w:sz w:val="22"/>
        </w:rPr>
        <w:t>Maintain target data quality evidence and report imports</w:t>
      </w:r>
      <w:r>
        <w:rPr>
          <w:sz w:val="22"/>
        </w:rPr>
        <w:tab/>
        <w:t>31</w:t>
      </w:r>
    </w:p>
    <w:p>
      <w:pPr>
        <w:spacing w:after="0" w:line="240" w:lineRule="auto"/>
        <w:tabs>
          <w:tab w:val="right" w:leader="dot" w:pos="9360"/>
        </w:tabs>
      </w:pPr>
      <w:r>
        <w:rPr>
          <w:sz w:val="22"/>
        </w:rPr>
        <w:t>Maintain target backup and restoration evidence</w:t>
      </w:r>
      <w:r>
        <w:rPr>
          <w:sz w:val="22"/>
        </w:rPr>
        <w:tab/>
        <w:t>32</w:t>
      </w:r>
    </w:p>
    <w:p>
      <w:pPr>
        <w:spacing w:after="0" w:line="240" w:lineRule="auto"/>
        <w:tabs>
          <w:tab w:val="right" w:leader="dot" w:pos="9360"/>
        </w:tabs>
      </w:pPr>
      <w:r>
        <w:rPr>
          <w:sz w:val="22"/>
        </w:rPr>
        <w:t>Maintain structured business process records</w:t>
      </w:r>
      <w:r>
        <w:rPr>
          <w:sz w:val="22"/>
        </w:rPr>
        <w:tab/>
        <w:t>32</w:t>
      </w:r>
    </w:p>
    <w:p>
      <w:pPr>
        <w:spacing w:after="0" w:line="240" w:lineRule="auto"/>
        <w:tabs>
          <w:tab w:val="right" w:leader="dot" w:pos="9360"/>
        </w:tabs>
      </w:pPr>
      <w:r>
        <w:rPr>
          <w:sz w:val="22"/>
        </w:rPr>
        <w:t>Source and revision evidence</w:t>
      </w:r>
      <w:r>
        <w:rPr>
          <w:sz w:val="22"/>
        </w:rPr>
        <w:tab/>
        <w:t>33</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DPH-WP2-6,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DPH-WP3-15.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DPH-WP2-6 and DPH-WP3-15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DPH-WP3-15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Resolve captured dataset and field bindings</w:t>
      </w:r>
    </w:p>
    <w:p>
      <w:r>
        <w:t>TDPHDatabaseConnections.Inspect extends the existing captured form inventory with known persistent TField classes, data-aware control property signals, TBindSourceDB and visual controls explicitly referenced by serialized binding Control properties. Only required reference/configuration metadata enters the projection; captions, credentials and connection values retain existing redaction. The source and persisted workspace remain unchanged.</w:t>
      </w:r>
    </w:p>
    <w:p>
      <w:r>
        <w:t>Persistent field DataSet ownership is derived from its exact serialized parent path and resolved only to a unique dataset. Explicit LookupDataSet references remain distinct from ownership. ResolveFields indexes captured IDs and dataset-scoped case-insensitive FieldName values, then joins resolved control DataSource or BindSource, intermediary DataSet and persistent field identity. Multiple fields, incomplete or competing chains receive no target ID. Fields absent from captured declarations are not invented. Every property link retains its original property line and byte range; binary form evidence has byte positions rather than invented text lines.</w:t>
      </w:r>
    </w:p>
    <w:p>
      <w:r>
        <w:t>The existing Follow reference workflow navigates outgoing and reverse references, resets filters and finds exact IDs across 250-row pages. Serialized kind choices add bound control, persistent field and binding control target. Binding explanations and field metadata appear before lengthy engine qualifications. No runtime controls, helper unit, target component loading or storage migration was introduced. Existing engine derivation remains unchanged.</w:t>
      </w:r>
    </w:p>
    <w:p>
      <w:r>
        <w:t>The installed RAD Studio Data.Bind.Components source and official TLinkControlToField documentation establish the published DataSource, FieldName and Control contract. Data.Bind.DBScope supplies TBindSourceDB. Support describes serialized lexical candidates; it does not evaluate LiveBindings expressions or instantiate the target. General expression/factory/runtime/inherited behavior remains qualified rather than promoted to confirmed static binding.</w:t>
      </w:r>
    </w:p>
    <w:p>
      <w:r>
        <w:t>Run tools/build-dataset-bindings.cmd elevated for 92 checks. Real text/binary DFM and FMX fixtures cover VCL and FMX field chains, parent ownership, reverse links, duplicate fields, missing/nil sources, lookup datasets, exact property evidence, native kind/text filters, follow navigation, compact layout, SQLite reopening and unchanged source/catalog. Connection and engine regressions each pass 66 checks. tools/build-wp0.cmd builds the actual application and verifies FMX resource bindings. Fixtures use fixed ignored bin/dataset-bindings-validation.</w:t>
      </w:r>
    </w:p>
    <w:p>
      <w:pPr>
        <w:pStyle w:val="Heading1"/>
      </w:pPr>
      <w:r>
        <w:t>Recognize captured database operation requests</w:t>
      </w:r>
    </w:p>
    <w:p>
      <w:r>
        <w:t>TDPHSemanticAnalyzer.RoutineFacts emits database_operation relations for recognized methods on declared framework datasets or captured descendants. Receiver resolution and imported framework identity are checked; a local class shadowing TFDQuery and ordinary Delete methods are excluded. Captured inheritance is bounded to 32 steps. Within-with calls, factories, aliases, indexed receivers, unsupported providers and runtime dispatch remain unproved. DPHSemanticVersion DPH-WP3-15 invalidates older semantic caches.</w:t>
      </w:r>
    </w:p>
    <w:p>
      <w:r>
        <w:t>TDPHDatabaseConnections.AppendOperations projects API calls, static_sql and dynamic_sql relations into existing database inventory rows. It preserves generation, condition, source SHA256 and line/byte range. Semantic component_field relationships connect operation receivers to serialized components by exact source location; ambiguous locations never choose an arbitrary target. Recognized custom dataset declarations receive their own navigable receiver row. SQL literal values are omitted. Single lexical CRUD families can be retained for complex SQL without inventing table or column bindings; dynamic or mixed batches remain unknown.</w:t>
      </w:r>
    </w:p>
    <w:p>
      <w:r>
        <w:t>Effects distinguish record-buffer preparation, posting, cached-update application, deletion requests, SQL configuration and execution requests. Engine evidence follows captured receiver references. The database operation kind filter and Source button are serialized in DPH.UI.Main.fmx. Existing pagination, reverse references and source hash guards are reused. No helper unit, runtime control, storage migration, target execution or driver loading is introduced.</w:t>
      </w:r>
    </w:p>
    <w:p>
      <w:r>
        <w:t>Run tools/build-database-operations.cmd elevated for 232 checks using the actual analyzer, persisted/reopened SQLite workspace and native FMX form. Fixtures cover CRUD requests, local/custom datasets, framework-name shadowing, SQL joins and mixed/dynamic SQL, operation effects, exact receiver/source identity, redaction, reverse navigation, detached-source refusal, compact layout and unchanged source/catalog. Binding regression passes 92, engine regression 66 and semantic regression 134 checks. tools/build-wp0.cmd builds the real application and verifies its FMX resource. Fixtures stay in fixed ignored bin/database-operations-validation.</w:t>
      </w:r>
    </w:p>
    <w:p>
      <w:pPr>
        <w:pStyle w:val="Heading1"/>
      </w:pPr>
      <w:r>
        <w:t>Trace captured transaction boundaries</w:t>
      </w:r>
    </w:p>
    <w:p>
      <w:r>
        <w:t>DPHSemanticVersion DPH-WP3-15 invalidates older captures. RoutineFacts emits database_transaction relations for recognized FireDAC, ADO, dbExpress, BDE and IBX transaction APIs on declared imported framework types or captured descendants. IsDatabaseType shares the existing bounded ancestry and framework-name shadow checks with dataset operation recognition. The API list is provider-specific; ordinary methods and local classes sharing framework names are excluded. Parameter values and savepoint names do not enter the inventory. No target class, SQL or server is loaded or executed.</w:t>
      </w:r>
    </w:p>
    <w:p>
      <w:r>
        <w:t>AttachTransactionPaths projects existing captured flow_nodes and flow_edges without evaluating expressions. Each boundary maps to the smallest containing statement range in the same routine and source. Separate finalizer copies retain their different pending transfers. Bounded traversal stops at the next boundary on the same declared semantic receiver or a normal/exception exit. Exception and conditional/loop flags stay separate. Multiple transaction calls in one expression receive no invented ordering. Receiver aliases and interprocedural transactions remain unproved.</w:t>
      </w:r>
    </w:p>
    <w:p>
      <w:r>
        <w:t>Indexes group nodes by routine, outgoing edges by node and transaction boundaries by their statement. Limits are 10000 candidate CFG nodes per routine, 5000 states and 64 routes per boundary, and 1000000 states per inventory. Missing or bounded flow remains explicit. Routes expose node IDs and traversed edge-kind sets for comparison with the underlying CFG; they are not execution traces or path-feasibility proofs. Existing reference navigation links receivers, next boundaries and their reverse references. Controls remain serialized and IDE editable in DPH.UI.Main.fmx.</w:t>
      </w:r>
    </w:p>
    <w:p>
      <w:r>
        <w:t>Calls immediately after try, except and finally now retain their no-parentheses statement-call recognition. Run tools/build-database-transactions.cmd elevated for 402 checks using actual analysis, persisted/reopened SQLite and native FMX controls. Fixtures cover normal/error commit and rollback paths, finalizers, conditional alternatives, missing boundaries, distinct receivers, retaining/savepoint variants, five framework families, captured descendants, local name shadows, unordered expressions, absent CFG, redaction, native navigation, compact layout and unchanged source/catalog. Regression suites cover 232 operation, 92 binding, 66 engine and 134 semantic checks. tools/build-wp0.cmd builds the actual application and checks the FMX resource. Tests reuse fixed ignored bin/database-transactions-validation.</w:t>
      </w:r>
    </w:p>
    <w:p>
      <w:pPr>
        <w:pStyle w:val="Heading1"/>
      </w:pPr>
      <w:r>
        <w:t>Capture field validation and transformation evidence</w:t>
      </w:r>
    </w:p>
    <w:p>
      <w:r>
        <w:t>DPH-WP2-6 recognizes serialized BeforePost, BeforeInsert, BeforeEdit, BeforeDelete, BeforeCancel and BeforeOpen as event bindings in both text and binary forms. Existing own-form method resolution supplies handler relations; DPH-WP3-15 invalidates older semantic captures. Existing On-prefixed events retain their previous behavior. Missing or ambiguous method targets remain unresolved.</w:t>
      </w:r>
    </w:p>
    <w:p>
      <w:r>
        <w:t>AppendDataRules in DPH.Workspace.DatabaseConnections indexes captured symbols, event bindings and routine CFG nodes. It projects persistent-field constraints, recognized field/dataset/input hooks and bounded handler statements. A transformation requires two direct expressions in the matching Pascal statement IR, rather than a semicolon heuristic. Conditions, raises and early exits remain distinct. Repeated finally copies are deduplicated by source location and context. Statement input/output links use captured lexical reads/writes within expression ranges, not reaching-definition or runtime-value claims. Literal strings, comments and character codes are omitted; supported custom/default expressions retain their structure without evaluation.</w:t>
      </w:r>
    </w:p>
    <w:p>
      <w:r>
        <w:t>The combined inventory is bounded to 10000 rows; truncation is explicit in the model and native status. Source, SHA256, generation, context, handler, input/output and reverse references retain exact captured identity. Native data rule and rule declaration filters are serialized in the FMX resource. No new UI controls, helper unit, migration, target instance, driver or server execution is introduced. tools/build-data-rules.cmd checks real parser output, persisted/reopened captures, constraints, predicates, transformation inputs/outputs, missing handlers/syntax, semicolons in call literals, redaction, inventory limits, native navigation and normal/compact layouts. Explicit directions are in docs/guides/Data_Rules_Run_and_Test.txt.</w:t>
      </w:r>
    </w:p>
    <w:p>
      <w:pPr>
        <w:pStyle w:val="Heading1"/>
      </w:pPr>
      <w:r>
        <w:t>Connect source evidence into scoped lineage</w:t>
      </w:r>
    </w:p>
    <w:p>
      <w:r>
        <w:t>TDPHDatabaseConnections.Lineage projects the captured workspace and database inventory without modifying either. Exact component_field source locations map semantic receivers to serialized inventory identity only when unique. Existing rule declarations retain their identity. Directed derives_from relations connect input candidates to dependent declarations and file output artifacts. Lexical rule inputs and outputs connect through the captured rule. Serialized bindings, handler context, reads/writes, rendering requests and database operation routines remain labeled context rather than reaching-definition evidence.</w:t>
      </w:r>
    </w:p>
    <w:p>
      <w:r>
        <w:t>The projection indexes at most 50000 symbols and 100000 deduplicated edges, then performs bounded adjacency traversal. Each returned node retains its parent hop, kind, source, SHA256 and capture generation. Edges retain original range, source hash, condition, category and qualification. Both direction traversal includes context; Inputs and Destinations exclude broad procedure context and respect dependency direction. Cycles are deduplicated. Returned limits are 200 nodes, 800 edges and 12 hops. Missing targets, missing dataset declarations, unresolved handlers, scoped connection boundaries and limits remain explicit. Runtime values, aliases, server effects and final success remain unverified.</w:t>
      </w:r>
    </w:p>
    <w:p>
      <w:r>
        <w:t>ResolveFields now treats any captured data-source chain without a dataset target as incomplete, including the case where another source chain resolves. It no longer invents a persistent-field target from the remaining valid branch. Existing exact-role and ambiguity checks remain in force. No analyzer version or schema migration is needed because lineage projects existing captures; older captures without a recognized event or relation still require Full reassessment.</w:t>
      </w:r>
    </w:p>
    <w:p>
      <w:r>
        <w:t>The direction selector, Trace lineage and Lineage diagram buttons and Data lineage graph choice are serialized in DPH.UI.Main.fmx. Main form navigation reuses the inventory and explanation pages; graph grouping is disabled for lineage. GraphHTML renders the same evidence JSON with selectable nodes and unresolved breaks. Existing browser allowlisting and source hash guards remain in force. Tests use actual parsing, persisted and reopened SQLite captures, directional assignment chains, cyclic assignments, controlled file-writer evidence, redaction, incomplete bindings, trace limits and native FMX navigation/layout. No selected target, SQL, driver or production server is executed. Build with tools/build-data-lineage.cmd.</w:t>
      </w:r>
    </w:p>
    <w:p>
      <w:pPr>
        <w:pStyle w:val="Heading1"/>
      </w:pPr>
      <w:r>
        <w:t>Project captured migration and version evidence</w:t>
      </w:r>
    </w:p>
    <w:p>
      <w:r>
        <w:t>TDPHDatabaseSchema.Inspect appends migration evidence after ordinary schema identities and links are resolved. Existing schema IDs remain stable. Each captured readable SQL resource becomes a migration candidate; unavailable literal SQL loader targets become migration gaps citing the Pascal loader range and fingerprint. The existing bounded project inventory discovers referenced files only. No unrelated directory scan, migration runner, target database or target application executes.</w:t>
      </w:r>
    </w:p>
    <w:p>
      <w:r>
        <w:t>Leading numeric filenames are order candidates scoped to the captured source directory. Leading zeros normalize only for conflict detection; original filename digits remain visible. Captured loader configures relationships retain their source, line, fingerprint and enumeration label. Neither filename nor lexical-loader order becomes deployment precedence. Schema evidence links retain exact row IDs and are limited to 250 per script, with total and omission counts.</w:t>
      </w:r>
    </w:p>
    <w:p>
      <w:r>
        <w:t>The existing SQL lexer separates comments and literal contents. Supported top-level PRAGMA user_version assignments capture nonnegative 32-bit integer values through equals or parentheses and preserve explicit schema qualifiers. Queries, engine schema_version counters, unsupported expressions, nested procedure blocks and comments cannot become application-version assignments. Multiple assignments remain ordered evidence rather than a selected final version. SQLite reference: https://www.sqlite.org/pragma.html#pragma_user_version. Supported verification request spelling captures integrity_check, quick_check and foreign_key_check without execution or invented results.</w:t>
      </w:r>
    </w:p>
    <w:p>
      <w:r>
        <w:t>Existing SQL bounds are 2 MiB characters, 100000 tokens and 10000 combined schema rows. Migration detail bounds are 250 displayed version assignments, 8000 characters of verification requests and 1000 loader entries, with explicit truncation. IDE-editable kind/state selectors, paging, evidence memo, source guards and relationship navigation are reused. The focused tools/build-schema-history.cmd suite exercises actual parsing, persisted reopening, numeric-prefix conflicts, missing sources, version/counter distinctions, nested blocks, redaction, limits, native filters and navigation. Shared schema, ER, stored-object and lineage regressions verify the same projection remains compatible.</w:t>
      </w:r>
    </w:p>
    <w:p>
      <w:pPr>
        <w:pStyle w:val="Heading1"/>
      </w:pPr>
      <w:r>
        <w:t>Project captured file formats and contracts</w:t>
      </w:r>
    </w:p>
    <w:p>
      <w:r>
        <w:t>TDPHWorkspaceView.FileFormats projects existing IR and semantic captures without a schema or analyzer change. Supported captured JSON, XML and INI resources show member shapes while omitting scalar values. Member names are bounded and unsafe names are omitted. Each resource shows at most 250 members and an explicit total/limit. The combined inventory is capped at 10000 rows with visible truncation.</w:t>
      </w:r>
    </w:p>
    <w:p>
      <w:r>
        <w:t>Outer expression tokens identify dotted ReadAllText/Bytes/Lines, WriteAllText/Bytes/Lines, LoadFromFile and SaveToFile spellings. Quoted strings remain single tokens and comments do not become APIs. A supported literal first argument contributes only a safe filename extension. Explicit TEncoding argument spellings remain candidates; byte APIs remain binary candidates. Enclosing captured routine identity provides a producer or consumer link. Evidence retains source hash, generation and enclosing expression range; custom receivers and runtime dispatch are unverified.</w:t>
      </w:r>
    </w:p>
    <w:p>
      <w:r>
        <w:t>DPH.UI.Main and its serialized FMX resource provide kind/text filters, 250-row paging, labeled evidence, guarded source opening, routine explanation and contract drafts. No runtime controls, helper unit or target execution is introduced. Deterministic contract titles include the exact row and source hash. Existing attributed Knowledge storage supplies immutable revision history and separate review. A contract draft includes encoding/BOM, schema and required fields, producer/consumer mappings, validation, compatibility, verification and remaining unknowns.</w:t>
      </w:r>
    </w:p>
    <w:p>
      <w:r>
        <w:t>Run tools/build-file-formats.cmd elevated for the focused actual-parser, persistence and native FMX checks. It uses fixed ignored bin/file-formats-validation fixtures and verifies redaction, routine identity, explicit encoding candidates, resource/transfer distinctions, large shapes, paging, saved contracts, source-change and detached-source refusal, compact layout and unchanged captured source/catalog. Shared schema-history, lineage, Knowledge and publishing regressions and tools/build-wp0.cmd validate integration. Candidate evidence and authored contracts do not establish a formal schema, runtime transfer success or deployed compatibility.</w:t>
      </w:r>
    </w:p>
    <w:p>
      <w:pPr>
        <w:pStyle w:val="Heading1"/>
      </w:pPr>
      <w:r>
        <w:t>Maintain attributed target retention requirements</w:t>
      </w:r>
    </w:p>
    <w:p>
      <w:r>
        <w:t>Requirement 05.18 is an attributed manual-capture workflow. TDPHWorkspaceView provides the target-policy template, typed-record recognition, metadata validation and readable evidence. Native DataRetention controls in DPH.UI.Main.fmx provide state/text filtering, bounded 250-row pages, labeled scrollable details, draft preparation and existing Knowledge/link navigation. Controls remain editable in the IDE. No helper unit, analyzer pass or storage migration is introduced.</w:t>
      </w:r>
    </w:p>
    <w:p>
      <w:r>
        <w:t>Structured metadata contains record_type data_retention and a stable GUID policy_id. The existing attributed body remains editable; identity and kind stay protected. TDPHKnowledgeStore.SaveKnowledge validates metadata, rejects the default title, anonymous authors, removed heading, wrong business-rule/maintenance/maintainer scope, duplicate identities, identity changes and discarded structured metadata. Existing optimistic revisions, named review, immutable history and exact rich links remain authoritative. Unknown fields are deliberately permitted and visibly unresolved; policy prose is human evidence, not an inferred legal rule.</w:t>
      </w:r>
    </w:p>
    <w:p>
      <w:r>
        <w:t>The register distinguishes original contributor from current revision editor and shows the named reviewer and explicit link count. Existing Knowledge links support captured semantic routines, evidence and exact procedure-section revisions. Publication includes these requirements and typed identities in maintenance/all-reader handoffs through existing audience and redaction rules. No source application, SQL, deletion or archive job executes. DPH snapshot controls are distinct from the selected application's retention requirements.</w:t>
      </w:r>
    </w:p>
    <w:p>
      <w:r>
        <w:t>Run tools/build-data-retention.cmd elevated. The focused suite uses a real parsed controlled Retention.dpr capture, persisted attributed policies, metadata rejection cases, immutable review/edit history, routine and procedure links, canonical/HTML export and complete bundle validation, native paging/filtering, draft guards and compact rendering. Knowledge, publishing and file-format regressions and tools/build-wp0.cmd cover shared paths. Controlled outputs remain under ignored bin/data-retention-validation; no owner project source or catalog is modified.</w:t>
      </w:r>
    </w:p>
    <w:p>
      <w:pPr>
        <w:pStyle w:val="Heading1"/>
      </w:pPr>
      <w:r>
        <w:t>Maintain target data quality evidence and report imports</w:t>
      </w:r>
    </w:p>
    <w:p>
      <w:r>
        <w:t>TDPHWorkspaceView provides NewDataQualityRule, typed record recognition, metadata validation and attributed details in the existing model unit. Stable record_type data_quality and GUID rule_id identify each rule or imported report. Native controls are serialized in DPH.UI.Main.fmx for IDE editing: state/text filters, 250-row pages, command bars, contributor/context inputs, labeled evidence, New/Open, implementation links and import. Main guards unsaved Knowledge drafts and reuses existing revision, review and rich-link workflows. No helper unit, storage migration or target execution is introduced.</w:t>
      </w:r>
    </w:p>
    <w:p>
      <w:r>
        <w:t>TDPHKnowledgeStore.SaveKnowledge validates quality identity, heading, business-rule kind and project maintenance/maintainer scope, rejects placeholder titles, duplicate identities, changed identities and discarded structured metadata. The body remains editable and exact prior revisions remain in history. ImportDataQualityReport reads only explicitly selected .txt/.log/.json files, checks both before/after read sizes at 32 KiB, requires round-trip UTF-8 and rejects empty/NUL text. It hashes the original bytes and saves literal text with contributor, context, UTC, generation and an explicit unverified-claim qualification through SaveKnowledge.</w:t>
      </w:r>
    </w:p>
    <w:p>
      <w:r>
        <w:t>The import_data_quality worker command opens the selected store using its actual source root, imports on the existing background writer and returns saved Knowledge. Report imports do not execute a parser for report commands, SQL, scripts or target code. Publication uses the normal maintenance scope and escapes report markup in HTML; imported measurements remain unverified even when hash-consistent. Exact section links associate rule, operator procedure and imported report revisions; entity/evidence links preserve captured implementation references. DPH storage integrity and selected-data quality remain distinct.</w:t>
      </w:r>
    </w:p>
    <w:p>
      <w:r>
        <w:t>Run tools/build-data-quality.cmd elevated for real parsing/persistence, identity and invalid-save cases, immutable review/edit history, implementation/procedure/result links, native filtering/paging/draft guards, compact rendering, UTF-8/size/NUL rejection, report hashes, literal HTML, full handoff validation, unchanged source/catalog and actual background import. The worker test releases the test writer before opening the background writer. Knowledge, publishing, retention and actual application/FMX regressions cover shared paths. Fixed ignored bin/data-quality-validation holds controlled fixtures.</w:t>
      </w:r>
    </w:p>
    <w:p>
      <w:pPr>
        <w:pStyle w:val="Heading1"/>
      </w:pPr>
      <w:r>
        <w:t>Maintain target backup and restoration evidence</w:t>
      </w:r>
    </w:p>
    <w:p>
      <w:r>
        <w:t>TDPHWorkspaceView provides the recovery template, typed metadata validation, recognition and readable attribution. record_type target_recovery and a stable GUID plan_id identify each plan independently of its editable body. TDPHKnowledgeStore.SaveKnowledge enforces the first heading, descriptive stable title, project business-rule and maintenance scope, unique identity and existing optimistic revisions. Named reviews and edits preserve exact prior bodies and evidence links; unknowns remain explicit.</w:t>
      </w:r>
    </w:p>
    <w:p>
      <w:r>
        <w:t>TargetRecovery controls in DPH.UI.Main.fmx are serialized for IDE and Object Inspector editing. The register provides state and text filters, 250-row pages, labeled scrolling evidence, New/Open and the existing exact-link editor. It borrows saved Knowledge rows and clears them before replacement; it guards unsaved drafts. No helper unit, migration, runtime control construction or target backup/restore execution is introduced.</w:t>
      </w:r>
    </w:p>
    <w:p>
      <w:r>
        <w:t>The controlled tests parse a real Recovery.dpr and RestoreOrders routine, persist requirements and attributed test measurements, exercise invalid/duplicate/stale saves, immutable review/edit history, source and exact procedure links, canonical and escaped HTML publication, full bundle validation, native editing/navigation/filtering/paging and compact layout. Knowledge, publishing and data-quality regression suites and the actual app/FMX baseline cover shared paths. Run tools/build-target-recovery.cmd elevated. Fixtures remain under fixed ignored bin/target-recovery-validation.</w:t>
      </w:r>
    </w:p>
    <w:p>
      <w:r>
        <w:t>DPH portable database backup and selected-application recovery requirements are separate. Written measurements are contributor claims, and a stored hash does not authenticate their origin or prove recovery. Existing section links can pin a saved evidence revision. The embedded-NUL report rejection fixture uses an ordinary filename, embedded-nul.txt, to avoid Windows device-name behavior while testing the actual NUL bytes.</w:t>
      </w:r>
    </w:p>
    <w:p>
      <w:pPr>
        <w:pStyle w:val="Heading1"/>
      </w:pPr>
      <w:r>
        <w:t>Maintain structured business process records</w:t>
      </w:r>
    </w:p>
    <w:p>
      <w:r>
        <w:t>TDPHWorkspaceView provides the typed business_process object with stable process_id GUID and eight string fields. Validation rejects missing, unexpected, non-text, empty and oversized fields, and an unspecified process name. SaveKnowledge enforces project business-rule maintenance scope, a name matching the stable title, a canonical generated body, unique identity and optimistic revisions. Existing metadata conversion/discard guards, immutable review/edit history and exact evidence links remain authoritative.</w:t>
      </w:r>
    </w:p>
    <w:p>
      <w:r>
        <w:t>BusinessProcess controls and the Process fields editor are serialized in DPH.UI.Main.fmx for IDE and Object Inspector editing. A scrolling native field editor prepares the existing Knowledge draft rather than silently saving. Named contributor, draft guards, editable business fields, protected saved name, separate review, filters, 250-row paging, source explanation navigation and exact section revisions share the existing workflow. No helper unit, schema migration, runtime control construction or target execution is introduced.</w:t>
      </w:r>
    </w:p>
    <w:p>
      <w:r>
        <w:t>Run tools/build-business-process.cmd elevated. The controlled fixture parses Operations.dpr and FulfilOrders, persists and reopens typed fields, tests malformed metadata, duplicate/changed identities, canonical-body divergence, stale saves, named review and immutable history, exact source/procedure links, canonical publication and full bundle validation. Actual native FMX editor/register renders cover normal and compact windows and the last field. Shared knowledge, publishing and data-quality suites and tools/build-wp0.cmd cover regressions. Fixtures use the fixed ignored bin/business-process-validation directory.</w:t>
      </w:r>
    </w:p>
    <w:p>
      <w:r>
        <w:t>Business owner and contributor are distinct. Unknown is an explicit unresolved value rather than inferred business knowledge. Source links establish captured implementation evidence, not that a business step ran. Generic ordered step text in this inventory does not complete the separate departmental workflow or end-to-end process-diagram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e03b27e76dadb7417da560531a6fb3eaeb466b9586328d2be22f2c05021a73a6</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a430b042adc3b78834508660ca9d36d4ac2202b6dc66145a09d23f2cc418cc23</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aa78ea686c664031df03303dd957e727aa6c190eaf8ad20dfef52a58ae3444e7</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d6ac3ffff0c50dbcbb98f0813db1ea47769f0fa8e1f2e9418381c6735cc09953</w:t>
      </w:r>
    </w:p>
    <w:p>
      <w:pPr>
        <w:keepNext/>
        <w:spacing w:after="0"/>
      </w:pPr>
      <w:r>
        <w:rPr>
          <w:sz w:val="18"/>
        </w:rPr>
        <w:t>DPH.UI.Main.fmx</w:t>
      </w:r>
    </w:p>
    <w:p>
      <w:pPr>
        <w:spacing w:after="20"/>
      </w:pPr>
      <w:r>
        <w:rPr>
          <w:rFonts w:ascii="Consolas" w:hAnsi="Consolas"/>
          <w:sz w:val="16"/>
        </w:rPr>
        <w:t>ea04093fba24d7ca925c5a4ca0778c056cf3a4998df9b43614289664e5be26e7</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