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Trace inputs and destination candidates</w:t>
      </w:r>
      <w:r>
        <w:rPr>
          <w:sz w:val="22"/>
        </w:rPr>
        <w:tab/>
        <w:t>24</w:t>
      </w:r>
    </w:p>
    <w:p>
      <w:pPr>
        <w:spacing w:after="0" w:line="240" w:lineRule="auto"/>
        <w:tabs>
          <w:tab w:val="right" w:leader="dot" w:pos="9360"/>
        </w:tabs>
      </w:pPr>
      <w:r>
        <w:rPr>
          <w:sz w:val="22"/>
        </w:rPr>
        <w:t>Inspect migration and schema-version history</w:t>
      </w:r>
      <w:r>
        <w:rPr>
          <w:sz w:val="22"/>
        </w:rPr>
        <w:tab/>
        <w:t>25</w:t>
      </w:r>
    </w:p>
    <w:p>
      <w:pPr>
        <w:spacing w:after="0" w:line="240" w:lineRule="auto"/>
        <w:tabs>
          <w:tab w:val="right" w:leader="dot" w:pos="9360"/>
        </w:tabs>
      </w:pPr>
      <w:r>
        <w:rPr>
          <w:sz w:val="22"/>
        </w:rPr>
        <w:t>Inspect import and export file formats</w:t>
      </w:r>
      <w:r>
        <w:rPr>
          <w:sz w:val="22"/>
        </w:rPr>
        <w:tab/>
        <w:t>26</w:t>
      </w:r>
    </w:p>
    <w:p>
      <w:pPr>
        <w:spacing w:after="0" w:line="240" w:lineRule="auto"/>
        <w:tabs>
          <w:tab w:val="right" w:leader="dot" w:pos="9360"/>
        </w:tabs>
      </w:pPr>
      <w:r>
        <w:rPr>
          <w:sz w:val="22"/>
        </w:rPr>
        <w:t>Record target data retention and archival policies</w:t>
      </w:r>
      <w:r>
        <w:rPr>
          <w:sz w:val="22"/>
        </w:rPr>
        <w:tab/>
        <w:t>26</w:t>
      </w:r>
    </w:p>
    <w:p>
      <w:pPr>
        <w:spacing w:after="0" w:line="240" w:lineRule="auto"/>
        <w:tabs>
          <w:tab w:val="right" w:leader="dot" w:pos="9360"/>
        </w:tabs>
      </w:pPr>
      <w:r>
        <w:rPr>
          <w:sz w:val="22"/>
        </w:rPr>
        <w:t>Record target data quality rules and check reports</w:t>
      </w:r>
      <w:r>
        <w:rPr>
          <w:sz w:val="22"/>
        </w:rPr>
        <w:tab/>
        <w:t>27</w:t>
      </w:r>
    </w:p>
    <w:p>
      <w:pPr>
        <w:spacing w:after="0" w:line="240" w:lineRule="auto"/>
        <w:tabs>
          <w:tab w:val="right" w:leader="dot" w:pos="9360"/>
        </w:tabs>
      </w:pPr>
      <w:r>
        <w:rPr>
          <w:sz w:val="22"/>
        </w:rPr>
        <w:t>Record backup and restoration requirements</w:t>
      </w:r>
      <w:r>
        <w:rPr>
          <w:sz w:val="22"/>
        </w:rPr>
        <w:tab/>
        <w:t>28</w:t>
      </w:r>
    </w:p>
    <w:p>
      <w:pPr>
        <w:spacing w:after="0" w:line="240" w:lineRule="auto"/>
        <w:tabs>
          <w:tab w:val="right" w:leader="dot" w:pos="9360"/>
        </w:tabs>
      </w:pPr>
      <w:r>
        <w:rPr>
          <w:sz w:val="22"/>
        </w:rPr>
        <w:t>Compare screen history and visual changes</w:t>
      </w:r>
      <w:r>
        <w:rPr>
          <w:sz w:val="22"/>
        </w:rPr>
        <w:tab/>
        <w:t>28</w:t>
      </w:r>
    </w:p>
    <w:p>
      <w:pPr>
        <w:spacing w:after="0" w:line="240" w:lineRule="auto"/>
        <w:tabs>
          <w:tab w:val="right" w:leader="dot" w:pos="9360"/>
        </w:tabs>
      </w:pPr>
      <w:r>
        <w:rPr>
          <w:sz w:val="22"/>
        </w:rPr>
        <w:t>Record user actions and business purposes</w:t>
      </w:r>
      <w:r>
        <w:rPr>
          <w:sz w:val="22"/>
        </w:rPr>
        <w:tab/>
        <w:t>29</w:t>
      </w:r>
    </w:p>
    <w:p>
      <w:pPr>
        <w:spacing w:after="0" w:line="240" w:lineRule="auto"/>
        <w:tabs>
          <w:tab w:val="right" w:leader="dot" w:pos="9360"/>
        </w:tabs>
      </w:pPr>
      <w:r>
        <w:rPr>
          <w:sz w:val="22"/>
        </w:rPr>
        <w:t>Write attributed knowledge</w:t>
      </w:r>
      <w:r>
        <w:rPr>
          <w:sz w:val="22"/>
        </w:rPr>
        <w:tab/>
        <w:t>29</w:t>
      </w:r>
    </w:p>
    <w:p>
      <w:pPr>
        <w:spacing w:after="0" w:line="240" w:lineRule="auto"/>
        <w:tabs>
          <w:tab w:val="right" w:leader="dot" w:pos="9360"/>
        </w:tabs>
      </w:pPr>
      <w:r>
        <w:rPr>
          <w:sz w:val="22"/>
        </w:rPr>
        <w:t>Link authored sections to exact evidence</w:t>
      </w:r>
      <w:r>
        <w:rPr>
          <w:sz w:val="22"/>
        </w:rPr>
        <w:tab/>
        <w:t>30</w:t>
      </w:r>
    </w:p>
    <w:p>
      <w:pPr>
        <w:spacing w:after="0" w:line="240" w:lineRule="auto"/>
        <w:tabs>
          <w:tab w:val="right" w:leader="dot" w:pos="9360"/>
        </w:tabs>
      </w:pPr>
      <w:r>
        <w:rPr>
          <w:sz w:val="22"/>
        </w:rPr>
        <w:t>Review and retire knowledge</w:t>
      </w:r>
      <w:r>
        <w:rPr>
          <w:sz w:val="22"/>
        </w:rPr>
        <w:tab/>
        <w:t>30</w:t>
      </w:r>
    </w:p>
    <w:p>
      <w:pPr>
        <w:spacing w:after="0" w:line="240" w:lineRule="auto"/>
        <w:tabs>
          <w:tab w:val="right" w:leader="dot" w:pos="9360"/>
        </w:tabs>
      </w:pPr>
      <w:r>
        <w:rPr>
          <w:sz w:val="22"/>
        </w:rPr>
        <w:t>Review changed knowledge against evidence</w:t>
      </w:r>
      <w:r>
        <w:rPr>
          <w:sz w:val="22"/>
        </w:rPr>
        <w:tab/>
        <w:t>31</w:t>
      </w:r>
    </w:p>
    <w:p>
      <w:pPr>
        <w:spacing w:after="0" w:line="240" w:lineRule="auto"/>
        <w:tabs>
          <w:tab w:val="right" w:leader="dot" w:pos="9360"/>
        </w:tabs>
      </w:pPr>
      <w:r>
        <w:rPr>
          <w:sz w:val="22"/>
        </w:rPr>
        <w:t>Answer focused author questions</w:t>
      </w:r>
      <w:r>
        <w:rPr>
          <w:sz w:val="22"/>
        </w:rPr>
        <w:tab/>
        <w:t>31</w:t>
      </w:r>
    </w:p>
    <w:p>
      <w:pPr>
        <w:spacing w:after="0" w:line="240" w:lineRule="auto"/>
        <w:tabs>
          <w:tab w:val="right" w:leader="dot" w:pos="9360"/>
        </w:tabs>
      </w:pPr>
      <w:r>
        <w:rPr>
          <w:sz w:val="22"/>
        </w:rPr>
        <w:t>Preserve saved runtime observations</w:t>
      </w:r>
      <w:r>
        <w:rPr>
          <w:sz w:val="22"/>
        </w:rPr>
        <w:tab/>
        <w:t>31</w:t>
      </w:r>
    </w:p>
    <w:p>
      <w:pPr>
        <w:spacing w:after="0" w:line="240" w:lineRule="auto"/>
        <w:tabs>
          <w:tab w:val="right" w:leader="dot" w:pos="9360"/>
        </w:tabs>
      </w:pPr>
      <w:r>
        <w:rPr>
          <w:sz w:val="22"/>
        </w:rPr>
        <w:t>Retain captures and review rename continuity</w:t>
      </w:r>
      <w:r>
        <w:rPr>
          <w:sz w:val="22"/>
        </w:rPr>
        <w:tab/>
        <w:t>32</w:t>
      </w:r>
    </w:p>
    <w:p>
      <w:pPr>
        <w:spacing w:after="0" w:line="240" w:lineRule="auto"/>
        <w:tabs>
          <w:tab w:val="right" w:leader="dot" w:pos="9360"/>
        </w:tabs>
      </w:pPr>
      <w:r>
        <w:rPr>
          <w:sz w:val="22"/>
        </w:rPr>
        <w:t>Back up and restore a complete database</w:t>
      </w:r>
      <w:r>
        <w:rPr>
          <w:sz w:val="22"/>
        </w:rPr>
        <w:tab/>
        <w:t>32</w:t>
      </w:r>
    </w:p>
    <w:p>
      <w:pPr>
        <w:spacing w:after="0" w:line="240" w:lineRule="auto"/>
        <w:tabs>
          <w:tab w:val="right" w:leader="dot" w:pos="9360"/>
        </w:tabs>
      </w:pPr>
      <w:r>
        <w:rPr>
          <w:sz w:val="22"/>
        </w:rPr>
        <w:t>Publish manuals and handoffs</w:t>
      </w:r>
      <w:r>
        <w:rPr>
          <w:sz w:val="22"/>
        </w:rPr>
        <w:tab/>
        <w:t>32</w:t>
      </w:r>
    </w:p>
    <w:p>
      <w:pPr>
        <w:spacing w:after="0" w:line="240" w:lineRule="auto"/>
        <w:tabs>
          <w:tab w:val="right" w:leader="dot" w:pos="9360"/>
        </w:tabs>
      </w:pPr>
      <w:r>
        <w:rPr>
          <w:sz w:val="22"/>
        </w:rPr>
        <w:t>Translate and review saved sections</w:t>
      </w:r>
      <w:r>
        <w:rPr>
          <w:sz w:val="22"/>
        </w:rPr>
        <w:tab/>
        <w:t>33</w:t>
      </w:r>
    </w:p>
    <w:p>
      <w:pPr>
        <w:spacing w:after="0" w:line="240" w:lineRule="auto"/>
        <w:tabs>
          <w:tab w:val="right" w:leader="dot" w:pos="9360"/>
        </w:tabs>
      </w:pPr>
      <w:r>
        <w:rPr>
          <w:sz w:val="22"/>
        </w:rPr>
        <w:t>Publish localized text and source browsing</w:t>
      </w:r>
      <w:r>
        <w:rPr>
          <w:sz w:val="22"/>
        </w:rPr>
        <w:tab/>
        <w:t>33</w:t>
      </w:r>
    </w:p>
    <w:p>
      <w:pPr>
        <w:spacing w:after="0" w:line="240" w:lineRule="auto"/>
        <w:tabs>
          <w:tab w:val="right" w:leader="dot" w:pos="9360"/>
        </w:tabs>
      </w:pPr>
      <w:r>
        <w:rPr>
          <w:sz w:val="22"/>
        </w:rPr>
        <w:t>Validate a bundle in the application</w:t>
      </w:r>
      <w:r>
        <w:rPr>
          <w:sz w:val="22"/>
        </w:rPr>
        <w:tab/>
        <w:t>34</w:t>
      </w:r>
    </w:p>
    <w:p>
      <w:pPr>
        <w:spacing w:after="0" w:line="240" w:lineRule="auto"/>
        <w:tabs>
          <w:tab w:val="right" w:leader="dot" w:pos="9360"/>
        </w:tabs>
      </w:pPr>
      <w:r>
        <w:rPr>
          <w:sz w:val="22"/>
        </w:rPr>
        <w:t>Validate and preserve exports</w:t>
      </w:r>
      <w:r>
        <w:rPr>
          <w:sz w:val="22"/>
        </w:rPr>
        <w:tab/>
        <w:t>34</w:t>
      </w:r>
    </w:p>
    <w:p>
      <w:pPr>
        <w:spacing w:after="0" w:line="240" w:lineRule="auto"/>
        <w:tabs>
          <w:tab w:val="right" w:leader="dot" w:pos="9360"/>
        </w:tabs>
      </w:pPr>
      <w:r>
        <w:rPr>
          <w:sz w:val="22"/>
        </w:rPr>
        <w:t>Troubleshoot common states</w:t>
      </w:r>
      <w:r>
        <w:rPr>
          <w:sz w:val="22"/>
        </w:rPr>
        <w:tab/>
        <w:t>34</w:t>
      </w:r>
    </w:p>
    <w:p>
      <w:pPr>
        <w:spacing w:after="0" w:line="240" w:lineRule="auto"/>
        <w:tabs>
          <w:tab w:val="right" w:leader="dot" w:pos="9360"/>
        </w:tabs>
      </w:pPr>
      <w:r>
        <w:rPr>
          <w:sz w:val="22"/>
        </w:rPr>
        <w:t>Practice a maintenance handoff</w:t>
      </w:r>
      <w:r>
        <w:rPr>
          <w:sz w:val="22"/>
        </w:rPr>
        <w:tab/>
        <w:t>35</w:t>
      </w:r>
    </w:p>
    <w:p>
      <w:pPr>
        <w:spacing w:after="0" w:line="240" w:lineRule="auto"/>
        <w:tabs>
          <w:tab w:val="right" w:leader="dot" w:pos="9360"/>
        </w:tabs>
      </w:pPr>
      <w:r>
        <w:rPr>
          <w:sz w:val="22"/>
        </w:rPr>
        <w:t>Understand implementation status</w:t>
      </w:r>
      <w:r>
        <w:rPr>
          <w:sz w:val="22"/>
        </w:rPr>
        <w:tab/>
        <w:t>35</w:t>
      </w:r>
    </w:p>
    <w:p>
      <w:pPr>
        <w:spacing w:after="0" w:line="240" w:lineRule="auto"/>
        <w:tabs>
          <w:tab w:val="right" w:leader="dot" w:pos="9360"/>
        </w:tabs>
      </w:pPr>
      <w:r>
        <w:rPr>
          <w:sz w:val="22"/>
        </w:rPr>
        <w:t>Inventory business processes</w:t>
      </w:r>
      <w:r>
        <w:rPr>
          <w:sz w:val="22"/>
        </w:rPr>
        <w:tab/>
        <w:t>35</w:t>
      </w:r>
    </w:p>
    <w:p>
      <w:pPr>
        <w:spacing w:after="0" w:line="240" w:lineRule="auto"/>
        <w:tabs>
          <w:tab w:val="right" w:leader="dot" w:pos="9360"/>
        </w:tabs>
      </w:pPr>
      <w:r>
        <w:rPr>
          <w:sz w:val="22"/>
        </w:rPr>
        <w:t>Source and revision evidence</w:t>
      </w:r>
      <w:r>
        <w:rPr>
          <w:sz w:val="22"/>
        </w:rPr>
        <w:tab/>
        <w:t>36</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Change impact and Data lineage. Select a relevant routine or component before choosing a narrow graph. Ordinary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ordinary views retain their 120-node bound; lineage permits 200.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Trace inputs and destination candidates</w:t>
      </w:r>
    </w:p>
    <w:p>
      <w:r>
        <w:t>Start DPH from bin/Win32/Debug/DelphiProjectHandoff.exe. Attach the application you intend to document or open its captured database. Choose Database connections in the upper-right page selector. Choose bound control, persistent field, data rule or database operation in the kind selector and select a relevant row. Drag the horizontal toolbar scrollbar fully right to reveal Both directions, Trace lineage and Lineage diagram.</w:t>
      </w:r>
    </w:p>
    <w:p>
      <w:r>
        <w:t>Click Trace lineage. The labeled memo shows the starting point, direction, capture generation and truncation state, followed by scoped route nodes, captured edges and unresolved breaks. Each node identifies its captured source location and SHA256. Select a Lineage hop in the reference selector, then click Follow reference. A component or rule opens its inventory evidence; a semantic declaration or file output opens Explain. To open the originally selected inventory row in unchanged attached source, return to Database connections and click Source. For another traced node, follow that node first and use its own Source command.</w:t>
      </w:r>
    </w:p>
    <w:p>
      <w:r>
        <w:t>Both directions includes serialized controls and fields, data-source and dataset references, rule context, procedure reads and writes, operations and file-output candidates. This is a source relationship neighborhood. A procedure that reads one variable and writes another does not establish a value transfer between them. Dependencies are explicitly labeled separately from context. Choose Inputs for upstream dependencies or Destinations for downstream dependencies, then click Trace lineage again. These directions omit broad procedure read/write/handler context while retaining captured binding and rule context.</w:t>
      </w:r>
    </w:p>
    <w:p>
      <w:r>
        <w:t>Click Lineage diagram to open Graphs with Data lineage selected. Orange dashed arrows show qualified source relationships. The HTML diagram labels arrows and lists unresolved breaks below it. Select a component node to open Database connections or a declaration/output node to open Explain. A native graph remains available when the embedded browser is unavailable. Exact node identity is retained and grouping is disabled. To return to the textual route, choose Database connections in the page selector, select the intended starting row and click Trace lineage.</w:t>
      </w:r>
    </w:p>
    <w:p>
      <w:r>
        <w:t>A file destination node identifies a captured writer and whether the destination expression was literal or dynamic. Follow it to Explain and inspect captured source for the expression. Projected lineage omits literal contents and configuration values. No file is produced and no SQL is executed by the trace. Unknown handlers, absent dataset references, unavailable semantic targets, connection boundaries and omitted routes remain explicit. A final captured endpoint does not establish successful delivery, current values or runtime execution. Limits are 200 returned nodes, 800 edges and 12 hops; index limits are also reported. Full directions and a controlled practice project are in docs/guides/Data_Lineage_Run_and_Test.txt.</w:t>
      </w:r>
    </w:p>
    <w:p>
      <w:pPr>
        <w:pStyle w:val="Heading1"/>
      </w:pPr>
      <w:r>
        <w:t>Inspect migration and schema-version history</w:t>
      </w:r>
    </w:p>
    <w:p>
      <w:r>
        <w:t>Start bin/Win32/Debug/DelphiProjectHandoff.exe and attach the application you intend to document, or open its captured database. In the upper-right page selector choose Database schema. In the leftmost kind selector choose migration. Keep the state selector at All to include readable script candidates and migration gaps. Enter part of a script filename or an explicit user_version assignment in the search box. Select a row.</w:t>
      </w:r>
    </w:p>
    <w:p>
      <w:r>
        <w:t>A migration changes database structure or data between application versions. DPH shows each referenced captured SQL script as a candidate. The evidence memo begins with a filename order candidate, explicit target-version assignments, verification requests, applied status and source fingerprint. Leading numeric filename prefixes provide intended-order candidates within each directory. Equivalent numbers such as 001 and 1 produce an explicit conflict. File numbers and captured loader enumeration do not establish the order used by a migration runner.</w:t>
      </w:r>
    </w:p>
    <w:p>
      <w:r>
        <w:t>SQLite user_version assignments with a supported nonnegative integer preserve their schema qualifier and statement line. Multiple assignments remain visible; DPH does not select a deployed winner. A query of user_version and SQLite schema_version are not promoted to an application target version. Other migration-framework version metadata and dynamic expressions remain unknown. Captured integrity_check, quick_check and foreign_key_check requests identify potential verification work; DPH does not run them and does not report a successful result.</w:t>
      </w:r>
    </w:p>
    <w:p>
      <w:r>
        <w:t>Drag the command bar scrollbar right to reveal the relationship selector and Follow relationship. Choose a captured schema evidence link and click Follow relationship to inspect the script declaration or gap. To read a script, select its migration row and click Open source. Source opens only when the attached bytes still match the capture. A migration gap cites the Pascal loader of an unavailable script; no missing SQL is reconstructed. Clear filters and use First page or Next page for larger inventories.</w:t>
      </w:r>
    </w:p>
    <w:p>
      <w:r>
        <w:t>Applied state remains unknown because source text is not a deployment ledger. Ask the maintainer to supply the intended migration framework, ordering rules, expected schema versions and recorded verification results. Save attributed explanations through Knowledge and review them against evidence. Full commands and a controlled practice project are in docs/guides/Schema_History_Run_and_Test.txt.</w:t>
      </w:r>
    </w:p>
    <w:p>
      <w:pPr>
        <w:pStyle w:val="Heading1"/>
      </w:pPr>
      <w:r>
        <w:t>Inspect import and export file formats</w:t>
      </w:r>
    </w:p>
    <w:p>
      <w:r>
        <w:t>Start bin/Win32/Debug/DelphiProjectHandoff.exe. Attach the application you intend to document or open its captured database. Choose Import/export formats in the upper-right page selector. A file-format contract explains how another program can produce or consume a file: its encoding, structure, required fields, compatibility and error handling.</w:t>
      </w:r>
    </w:p>
    <w:p>
      <w:r>
        <w:t>Use the kind selector to choose import, export or captured resource. Enter a format, routine or encoding in the search field. Select a row and read Format evidence and saved contract below the list. First page and Next page navigate inventories over 250 rows. Scroll the command bar horizontally when the window is narrow. Open source opens unchanged attached evidence; Explain routine selects the captured enclosing routine.</w:t>
      </w:r>
    </w:p>
    <w:p>
      <w:r>
        <w:t>Captured JSON, XML and INI resources expose bounded member structure with scalar values omitted. This is observed structure, not a formal validation schema. Transfer API spellings identify candidates and literal filename extensions; explicit TEncoding arguments remain source candidates. Captured source decoding is separate from a transfer encoding contract. Dynamic paths, defaults, missing structure and unsupported formats remain unknown.</w:t>
      </w:r>
    </w:p>
    <w:p>
      <w:r>
        <w:t>Click Record/open contract. An existing contract opens in Knowledge; otherwise DPH prepares a draft with fields for format/version, purpose, encoding and BOM, schema, delimiters and escaping, producer, consumer, validation, compatibility and verification. Complete each field or explicitly record Unknown and its responsible maintainer. Enter the named author, click Save and review separately against evidence. Preparing the draft does not save or verify it. Clear an unsaved Knowledge draft before opening a different contract.</w:t>
      </w:r>
    </w:p>
    <w:p>
      <w:r>
        <w:t>Contracts retain an exact captured source identity. Reassessment with changed source creates a different contract identity; previous records remain available in Knowledge. DPH does not execute a transfer or infer successful compatibility. Detailed commands and controlled practice instructions are in docs/guides/File_Formats_Run_and_Test.txt.</w:t>
      </w:r>
    </w:p>
    <w:p>
      <w:pPr>
        <w:pStyle w:val="Heading1"/>
      </w:pPr>
      <w:r>
        <w:t>Record target data retention and archival policies</w:t>
      </w:r>
    </w:p>
    <w:p>
      <w:r>
        <w:t>Start bin/Win32/Debug/DelphiProjectHandoff.exe and attach the application you want to document, or open its saved database. Choose Target data retention in the upper-right page selector. This page records the selected application's data obligations and archival procedures. DPH database snapshot retention remains on Database tools and is a separate feature.</w:t>
      </w:r>
    </w:p>
    <w:p>
      <w:r>
        <w:t>Click New policy. DPH opens an unsaved Knowledge draft. Replace the default title with a descriptive data scope before saving; saved titles remain stable. Enter the named contributor and complete the body below its first heading. The prompts cover data categories and tables/files, policy basis, retention period and clock-start event, expiry calculation, archive trigger and schedule, archive destination and permissions, disposal, legal holds, ownership, retrieval, failure monitoring, verification evidence and remaining unknowns. Record Unknown and its responsible maintainer when a fact is unavailable.</w:t>
      </w:r>
    </w:p>
    <w:p>
      <w:r>
        <w:t>To link an implementing routine, choose Knowledge links in the page selector. Select entity in the target-kind selector, enter the routine name, and click Find targets. Select the semantic_routine result, choose depends_on, then Add link. To cite an operating procedure saved in Knowledge, choose section, search its title and Add link with cites. Return to Knowledge and click Save. Links are explicit captured identities or exact section revisions; a written job name alone does not resolve an implementation link. Link search returns up to 200 candidates, so narrow the filter when necessary.</w:t>
      </w:r>
    </w:p>
    <w:p>
      <w:r>
        <w:t>Return to Target data retention. Filter by review state or search policy text, contributor, scope or job. Select a saved policy to read its original contributor, current revision author, reviewer and explicit link count. First page and Next page cover registers larger than 250 policies. Scroll the toolbar sideways in a narrow window. Open policy loads the saved Knowledge record for editing and named review. Implementation links opens its saved links; select a link and Open saved target to inspect its captured routine or exact procedure revision.</w:t>
      </w:r>
    </w:p>
    <w:p>
      <w:r>
        <w:t>Save creates a pending review revision. Review separately against policy evidence; editing a reviewed policy reopens review and retains earlier revisions. Save or discard an existing Knowledge draft before opening another policy. DPH does not execute archival, deletion, SQL or target jobs. Human review does not establish legal compliance or observed success; Unknown fields remain unresolved. Detailed run, practice and test commands are in docs/guides/Data_Retention_Run_and_Test.txt.</w:t>
      </w:r>
    </w:p>
    <w:p>
      <w:pPr>
        <w:pStyle w:val="Heading1"/>
      </w:pPr>
      <w:r>
        <w:t>Record target data quality rules and check reports</w:t>
      </w:r>
    </w:p>
    <w:p>
      <w:r>
        <w:t>Choose Target data quality in the upper-right page selector after attaching a source project or opening its database. New check prepares an unsaved Knowledge draft. Enter a descriptive title and named author. Preserve the first heading and record the check purpose and version, tables/fields/files and environment, quality dimension, measurable threshold and units, prerequisites and sampling, implementing procedure and schedule, responsible owner, failure severity and remediation, observed results, evidence and remaining unknowns. Unknown is an unresolved answer and should name its responsible maintainer.</w:t>
      </w:r>
    </w:p>
    <w:p>
      <w:r>
        <w:t>Use Knowledge links to attach captured semantic routines, constraints or exact procedure-section revisions. Choose entity, evidence or section, narrow the search, Find targets, select a result, choose depends_on or cites, and Add link. Return to Knowledge and Save. A typed routine name in prose is not a resolved link. Saving leaves needs_review; named review is separate. Open check returns to the saved record for editing, history and review. Implementation links opens its exact links. Search and review-state filters narrow the register; Next page covers lists exceeding 250 rows.</w:t>
      </w:r>
    </w:p>
    <w:p>
      <w:r>
        <w:t>To preserve an existing check report, enter the report contributor name and the check/environment/measurement context on Target data quality, then click Import check report. Select an explicitly saved UTF-8 .txt, .log or .json extract no larger than 32 KiB. Import immediately saves a new pending-review quality record containing the literal text, contributor, context, import UTC, captured generation and original byte SHA256. No file commands or markup execute. The imported text may contain sensitive data, so prepare an appropriate focused extract first. Report measurements, timestamps and runtime origin remain contributor claims.</w:t>
      </w:r>
    </w:p>
    <w:p>
      <w:r>
        <w:t>To connect a report with its rule, Open check on the rule, choose Implementation links or Knowledge links, select section and search Imported check report plus its descriptive context. Choose the exact report revision, cites and Add link, then return to Knowledge and Save. Earlier linked revisions remain exact when a report is edited. Read every report and procedure against its source; human review does not establish live data quality. Save or discard a current draft before opening another record or importing a report. DPH database integrity checks are a separate feature.</w:t>
      </w:r>
    </w:p>
    <w:p>
      <w:r>
        <w:t>In a narrow window scroll each command bar horizontally to reach all commands and report fields; the labeled evidence memo scrolls independently. Detailed run, practice, import and test directions are in docs/guides/Data_Quality_Run_and_Test.txt. DPH does not run target SQL, checks or applications. Captured schema constraints and validation routines are declarations and candidates rather than observed enforcement.</w:t>
      </w:r>
    </w:p>
    <w:p>
      <w:pPr>
        <w:pStyle w:val="Heading1"/>
      </w:pPr>
      <w:r>
        <w:t>Record backup and restoration requirements</w:t>
      </w:r>
    </w:p>
    <w:p>
      <w:r>
        <w:t>After attaching the selected application or opening its saved database, choose Target backup and restore in the upper-right page selector. This register documents the selected application. DPH portable database backups remain on Database tools and serve a separate purpose. New plan opens an unsaved Knowledge draft. Enter a descriptive title and named author and preserve the first heading.</w:t>
      </w:r>
    </w:p>
    <w:p>
      <w:r>
        <w:t>Complete the data scope, recovery point objective and maximum acceptable data loss, recovery time objective and priority, backup type and consistency, schedule, destination, retention and offsite copies, encryption and key responsibility, prerequisites and dependency order, restoration steps, rollback criteria and responsible operators. Unknown remains unresolved and should name the responsible maintainer. Avoid credentials and actual customer data.</w:t>
      </w:r>
    </w:p>
    <w:p>
      <w:r>
        <w:t>Record each recovery test with its date, isolated environment, operator, backup identity or hash, measured recovery time and recovered point, acceptance checks, failures, corrective action, reviewer and evidence. These are attributed claims. Use Knowledge links to attach captured backup or restore routines with entity and depends_on, or exact operating procedure and recovery-test evidence revisions with section and cites. Return to Knowledge and Save. A name in prose alone does not create an implementation link.</w:t>
      </w:r>
    </w:p>
    <w:p>
      <w:r>
        <w:t>Save creates a needs_review revision. Review separately against evidence using a named reviewer. Open plan returns to its saved Knowledge record for editing and history; Implementation links opens the exact links. Filters search plan text and review state. First page and Next page navigate more than 250 plans. Scroll the command bar horizontally in narrow windows and the labeled evidence memo vertically. Save or discard an existing draft before starting or opening another plan.</w:t>
      </w:r>
    </w:p>
    <w:p>
      <w:r>
        <w:t>DPH never runs a target backup or restoration or proves that a recovery test succeeded. Publishing with the maintenance or all audience includes the attributed plan subject to exclusions and redaction. Explicit run, practice and test instructions are in docs/guides/Target_Recovery_Run_and_Test.txt.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316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Inventory business processes</w:t>
      </w:r>
    </w:p>
    <w:p>
      <w:r>
        <w:t>Open the selected application or its database, then choose Business processes in the upper-right page selector. Click New process. The Process fields page provides separately labeled fields for process name, accountable owner, department and roles, trigger and prerequisites, inputs and their origins, outputs and recipients, ordered steps and handoffs, and unknowns with the person responsible for resolving them. Enter a named contributor above the fields. The contributor records the description; the accountable owner is a separate business role.</w:t>
      </w:r>
    </w:p>
    <w:p>
      <w:r>
        <w:t>Give the process a descriptive name. Complete each field or explicitly enter Unknown. Do not enter customer records or credentials. Name is stable after saving; other fields remain editable. Each field accepts up to 4096 characters and the name up to 200. Scroll vertically to reach the last fields. In a narrow window scroll the command bar horizontally to reach Apply to Knowledge draft. Apply prepares the canonical body and does not save it. Click Save on Knowledge to persist the process as needs_review.</w:t>
      </w:r>
    </w:p>
    <w:p>
      <w:r>
        <w:t>Choose Knowledge links to connect captured routines using entity and depends_on, or exact procedure/evidence revisions using section and cites. Search, Find targets, select a result, choose the link role and Add link. Return to Knowledge and Save. A routine name written in prose alone is not a source link. Review separately using a named reviewer after checking the business account and source evidence.</w:t>
      </w:r>
    </w:p>
    <w:p>
      <w:r>
        <w:t>Return to Business processes. Open record opens saved Knowledge and its immutable history; Edit fields restores the structured editor, preserves the process identity and exact links, and prepares a new revision after Apply and Save. Implementation links opens its evidence links. The review-state and text filters search the register, including owners, inputs and outputs. First page and Next page expose inventories larger than 250 records. Save or discard a current draft before editing another process. Cancel discards the current draft.</w:t>
      </w:r>
    </w:p>
    <w:p>
      <w:r>
        <w:t>Publishing with maintenance or all audience includes the attributed canonical process and typed fields, subject to exclusions and redaction. These descriptions do not establish that the target performed the steps or produced the stated outcomes. A repeatable exercise and elevated test command are in docs/guides/Business_Process_Run_and_Test.txt.</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e03b27e76dadb7417da560531a6fb3eaeb466b9586328d2be22f2c05021a73a6</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a430b042adc3b78834508660ca9d36d4ac2202b6dc66145a09d23f2cc418cc23</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aa78ea686c664031df03303dd957e727aa6c190eaf8ad20dfef52a58ae3444e7</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ea04093fba24d7ca925c5a4ca0778c056cf3a4998df9b43614289664e5be26e7</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