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49</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If the recorded source entry is still available under the recorded root, the worker verifies its manifest and analyzer/discovery versions in the background; a changed fingerprint or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pPr>
        <w:pStyle w:val="Heading3"/>
      </w:pPr>
      <w:r>
        <w:t>6.2.1. What the dossier STALE label means</w:t>
      </w:r>
    </w:p>
    <w:p>
      <w:r>
        <w:t>RefreshLearning passes the inverse of analysis_complete into the document model stale field. analysis_complete is true only when both syntax and semantic passes are complete. Thus the dossier can say STALE capture for a newly captured but incomplete analysis; the captured timestamp alone does not set the label. DPH.Handoff.Dossier renders Static inspection only for every capture because it never executes the selected application. After a source verification or incremental scan, inspect the captured diagnostics and missing inputs when the banner persists. Do not promise that reopening will clear it: unsupported syntax, unresolved connections, or missing material may continue to make analysis incomplete. The store separately tracks analysis_stale for source changes, interrupted generations and reassessment; publication clears that state only after a successful current generation.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in Native pixels; Fit and custom zoom change the display transform.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Report generation for hidden specialist tabs should not delay opening the Handoff dossier. Refresh routines must distinguish loading the base view from building graphs, generated form previews,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experimental desktop package contains the Win32 and Win64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semantic Version value.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49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